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2A74F" w14:textId="7AEAFDB9" w:rsidR="003622C5" w:rsidRDefault="003622C5">
      <w:pPr>
        <w:rPr>
          <w:rFonts w:ascii="Arial" w:hAnsi="Arial" w:cs="Arial"/>
          <w:b/>
          <w:bCs/>
          <w:sz w:val="24"/>
          <w:szCs w:val="24"/>
        </w:rPr>
      </w:pPr>
      <w:r w:rsidRPr="003622C5">
        <w:rPr>
          <w:rFonts w:ascii="Arial" w:hAnsi="Arial" w:cs="Arial"/>
          <w:b/>
          <w:bCs/>
          <w:sz w:val="24"/>
          <w:szCs w:val="24"/>
        </w:rPr>
        <w:t xml:space="preserve">ACADEMIA ITAPECURUENSE DE CIÊNCIAS, LETRAS E ARTES </w:t>
      </w:r>
      <w:r>
        <w:rPr>
          <w:rFonts w:ascii="Arial" w:hAnsi="Arial" w:cs="Arial"/>
          <w:b/>
          <w:bCs/>
          <w:sz w:val="24"/>
          <w:szCs w:val="24"/>
        </w:rPr>
        <w:t>–</w:t>
      </w:r>
      <w:r w:rsidRPr="003622C5">
        <w:rPr>
          <w:rFonts w:ascii="Arial" w:hAnsi="Arial" w:cs="Arial"/>
          <w:b/>
          <w:bCs/>
          <w:sz w:val="24"/>
          <w:szCs w:val="24"/>
        </w:rPr>
        <w:t xml:space="preserve"> AICLA</w:t>
      </w:r>
    </w:p>
    <w:p w14:paraId="02D77467" w14:textId="0C9573C6" w:rsidR="003622C5" w:rsidRDefault="003622C5" w:rsidP="003622C5">
      <w:pPr>
        <w:jc w:val="center"/>
        <w:rPr>
          <w:rFonts w:ascii="Arial" w:hAnsi="Arial" w:cs="Arial"/>
          <w:b/>
          <w:bCs/>
          <w:sz w:val="24"/>
          <w:szCs w:val="24"/>
        </w:rPr>
      </w:pPr>
      <w:r>
        <w:rPr>
          <w:rFonts w:ascii="Arial" w:hAnsi="Arial" w:cs="Arial"/>
          <w:b/>
          <w:bCs/>
          <w:sz w:val="24"/>
          <w:szCs w:val="24"/>
        </w:rPr>
        <w:t>Campanha “ITAPECURU – O Rio da Vida Maranhense”</w:t>
      </w:r>
    </w:p>
    <w:p w14:paraId="4674C57D" w14:textId="18417C26" w:rsidR="003622C5" w:rsidRDefault="003622C5" w:rsidP="003622C5">
      <w:pPr>
        <w:jc w:val="center"/>
        <w:rPr>
          <w:rFonts w:ascii="Arial" w:hAnsi="Arial" w:cs="Arial"/>
          <w:b/>
          <w:bCs/>
          <w:sz w:val="24"/>
          <w:szCs w:val="24"/>
        </w:rPr>
      </w:pPr>
      <w:r>
        <w:rPr>
          <w:rFonts w:ascii="Arial" w:hAnsi="Arial" w:cs="Arial"/>
          <w:b/>
          <w:bCs/>
          <w:sz w:val="24"/>
          <w:szCs w:val="24"/>
        </w:rPr>
        <w:t>Os Corredores Ecológicos Úmidos – Uma Alternativa para a Recuperação das Matas Ciliares dos Afluentes do Rio Ita</w:t>
      </w:r>
      <w:r w:rsidR="00FA3223">
        <w:rPr>
          <w:rFonts w:ascii="Arial" w:hAnsi="Arial" w:cs="Arial"/>
          <w:b/>
          <w:bCs/>
          <w:sz w:val="24"/>
          <w:szCs w:val="24"/>
        </w:rPr>
        <w:t>p</w:t>
      </w:r>
      <w:r>
        <w:rPr>
          <w:rFonts w:ascii="Arial" w:hAnsi="Arial" w:cs="Arial"/>
          <w:b/>
          <w:bCs/>
          <w:sz w:val="24"/>
          <w:szCs w:val="24"/>
        </w:rPr>
        <w:t>ecuru</w:t>
      </w:r>
    </w:p>
    <w:p w14:paraId="1694C7FB" w14:textId="4408AE97" w:rsidR="00FA3223" w:rsidRDefault="00107A79" w:rsidP="00FA3223">
      <w:pPr>
        <w:rPr>
          <w:rFonts w:ascii="Arial" w:hAnsi="Arial" w:cs="Arial"/>
          <w:sz w:val="24"/>
          <w:szCs w:val="24"/>
        </w:rPr>
      </w:pPr>
      <w:r>
        <w:rPr>
          <w:rFonts w:ascii="Arial" w:hAnsi="Arial" w:cs="Arial"/>
          <w:sz w:val="24"/>
          <w:szCs w:val="24"/>
        </w:rPr>
        <w:t xml:space="preserve">O Código Florestal do Brasil – Lei 12.727/2012 estabelece que as margens dos corpos d’água, incluídos os “igarapés”, definidos como canais </w:t>
      </w:r>
      <w:r w:rsidR="007655BF">
        <w:rPr>
          <w:rFonts w:ascii="Arial" w:hAnsi="Arial" w:cs="Arial"/>
          <w:sz w:val="24"/>
          <w:szCs w:val="24"/>
        </w:rPr>
        <w:t xml:space="preserve">que ligam os rios às suas diversas nascentes suplementares existentes ao longo do seu curso, são áreas prioritariamente protegidas com a denominação de </w:t>
      </w:r>
      <w:r w:rsidR="007655BF" w:rsidRPr="007655BF">
        <w:rPr>
          <w:rFonts w:ascii="Arial" w:hAnsi="Arial" w:cs="Arial"/>
          <w:i/>
          <w:iCs/>
          <w:sz w:val="24"/>
          <w:szCs w:val="24"/>
        </w:rPr>
        <w:t>Áreas de</w:t>
      </w:r>
      <w:r w:rsidR="007655BF">
        <w:rPr>
          <w:rFonts w:ascii="Arial" w:hAnsi="Arial" w:cs="Arial"/>
          <w:sz w:val="24"/>
          <w:szCs w:val="24"/>
        </w:rPr>
        <w:t xml:space="preserve"> </w:t>
      </w:r>
      <w:r w:rsidR="007655BF" w:rsidRPr="007655BF">
        <w:rPr>
          <w:rFonts w:ascii="Arial" w:hAnsi="Arial" w:cs="Arial"/>
          <w:i/>
          <w:iCs/>
          <w:sz w:val="24"/>
          <w:szCs w:val="24"/>
        </w:rPr>
        <w:t>Preservação Permanentes</w:t>
      </w:r>
      <w:r w:rsidR="007655BF">
        <w:rPr>
          <w:rFonts w:ascii="Arial" w:hAnsi="Arial" w:cs="Arial"/>
          <w:sz w:val="24"/>
          <w:szCs w:val="24"/>
        </w:rPr>
        <w:t>.</w:t>
      </w:r>
    </w:p>
    <w:p w14:paraId="4E4A714A" w14:textId="14CC2DF6" w:rsidR="009F309B" w:rsidRDefault="009F309B" w:rsidP="00FA3223">
      <w:pPr>
        <w:rPr>
          <w:rFonts w:ascii="Arial" w:hAnsi="Arial" w:cs="Arial"/>
          <w:sz w:val="24"/>
          <w:szCs w:val="24"/>
        </w:rPr>
      </w:pPr>
      <w:r>
        <w:rPr>
          <w:rFonts w:ascii="Arial" w:hAnsi="Arial" w:cs="Arial"/>
          <w:sz w:val="24"/>
          <w:szCs w:val="24"/>
        </w:rPr>
        <w:t>“Art. 3º - Para os efeitos desta Lei, entende-se por:</w:t>
      </w:r>
    </w:p>
    <w:p w14:paraId="7FC2CAD9" w14:textId="02FB99F9" w:rsidR="009F309B" w:rsidRDefault="009F309B" w:rsidP="00FA3223">
      <w:pPr>
        <w:rPr>
          <w:rFonts w:ascii="Arial" w:hAnsi="Arial" w:cs="Arial"/>
          <w:sz w:val="24"/>
          <w:szCs w:val="24"/>
        </w:rPr>
      </w:pPr>
      <w:r>
        <w:rPr>
          <w:rFonts w:ascii="Arial" w:hAnsi="Arial" w:cs="Arial"/>
          <w:sz w:val="24"/>
          <w:szCs w:val="24"/>
        </w:rPr>
        <w:t>II – Área de Preservação Permanente – APP:</w:t>
      </w:r>
      <w:r w:rsidRPr="009F309B">
        <w:rPr>
          <w:rFonts w:ascii="Arial" w:hAnsi="Arial" w:cs="Arial"/>
          <w:i/>
          <w:iCs/>
          <w:sz w:val="24"/>
          <w:szCs w:val="24"/>
        </w:rPr>
        <w:t xml:space="preserve"> área protegida, coberta ou não por vegetação nativa, com função ambiental de preservar os recursos hídricos, a paisagem, a estabilidade geológica e biodiversidade, facilitar o fluxo gênico de fauna e flora, proteger o solo e assegurar o bem-estar das populações humanas.</w:t>
      </w:r>
      <w:r>
        <w:rPr>
          <w:rFonts w:ascii="Arial" w:hAnsi="Arial" w:cs="Arial"/>
          <w:sz w:val="24"/>
          <w:szCs w:val="24"/>
        </w:rPr>
        <w:t xml:space="preserve"> </w:t>
      </w:r>
    </w:p>
    <w:p w14:paraId="20F76212" w14:textId="77777777" w:rsidR="00460634" w:rsidRDefault="00460634" w:rsidP="00FA3223">
      <w:pPr>
        <w:rPr>
          <w:rFonts w:ascii="Arial" w:hAnsi="Arial" w:cs="Arial"/>
          <w:sz w:val="24"/>
          <w:szCs w:val="24"/>
        </w:rPr>
      </w:pPr>
      <w:r>
        <w:rPr>
          <w:rFonts w:ascii="Arial" w:hAnsi="Arial" w:cs="Arial"/>
          <w:sz w:val="24"/>
          <w:szCs w:val="24"/>
        </w:rPr>
        <w:t>Relativamente à delimitação, a legislação citada estabelece uma gradação dependendo da categoria dos diversos corpos d’água, conforme disposto no seu artigo quarto.</w:t>
      </w:r>
    </w:p>
    <w:p w14:paraId="62F4313C" w14:textId="0B0C8C9A" w:rsidR="007655BF" w:rsidRDefault="00460634" w:rsidP="00FA3223">
      <w:pPr>
        <w:rPr>
          <w:rFonts w:ascii="Arial" w:hAnsi="Arial" w:cs="Arial"/>
          <w:sz w:val="24"/>
          <w:szCs w:val="24"/>
        </w:rPr>
      </w:pPr>
      <w:r>
        <w:rPr>
          <w:rFonts w:ascii="Arial" w:hAnsi="Arial" w:cs="Arial"/>
          <w:sz w:val="24"/>
          <w:szCs w:val="24"/>
        </w:rPr>
        <w:t xml:space="preserve">Art. 4º - Considera-se Área de Preservação </w:t>
      </w:r>
      <w:r w:rsidR="00FB65B8">
        <w:rPr>
          <w:rFonts w:ascii="Arial" w:hAnsi="Arial" w:cs="Arial"/>
          <w:sz w:val="24"/>
          <w:szCs w:val="24"/>
        </w:rPr>
        <w:t>Permanente,</w:t>
      </w:r>
      <w:r>
        <w:rPr>
          <w:rFonts w:ascii="Arial" w:hAnsi="Arial" w:cs="Arial"/>
          <w:sz w:val="24"/>
          <w:szCs w:val="24"/>
        </w:rPr>
        <w:t xml:space="preserve"> em zonas rurais e urbanas,</w:t>
      </w:r>
      <w:r w:rsidR="00FB65B8">
        <w:rPr>
          <w:rFonts w:ascii="Arial" w:hAnsi="Arial" w:cs="Arial"/>
          <w:sz w:val="24"/>
          <w:szCs w:val="24"/>
        </w:rPr>
        <w:t xml:space="preserve"> para efeitos desta Lei:</w:t>
      </w:r>
    </w:p>
    <w:p w14:paraId="6DC65E06" w14:textId="7B7A9B53" w:rsidR="00FB65B8" w:rsidRDefault="00FB65B8" w:rsidP="00FA3223">
      <w:pPr>
        <w:rPr>
          <w:rFonts w:ascii="Arial" w:hAnsi="Arial" w:cs="Arial"/>
          <w:sz w:val="24"/>
          <w:szCs w:val="24"/>
        </w:rPr>
      </w:pPr>
      <w:r>
        <w:rPr>
          <w:rFonts w:ascii="Arial" w:hAnsi="Arial" w:cs="Arial"/>
          <w:sz w:val="24"/>
          <w:szCs w:val="24"/>
        </w:rPr>
        <w:t>I – as faixas marginais de qualquer curso d’água natural perene ou intermitente, excluídos os efêmeros, desde a borda da calha do leito regular, em largura mínima de:</w:t>
      </w:r>
    </w:p>
    <w:p w14:paraId="57A4ECA1" w14:textId="10A06133" w:rsidR="00FB65B8" w:rsidRDefault="00FB65B8" w:rsidP="00FB65B8">
      <w:pPr>
        <w:numPr>
          <w:ilvl w:val="0"/>
          <w:numId w:val="1"/>
        </w:numPr>
        <w:rPr>
          <w:rFonts w:ascii="Arial" w:hAnsi="Arial" w:cs="Arial"/>
          <w:sz w:val="24"/>
          <w:szCs w:val="24"/>
        </w:rPr>
      </w:pPr>
      <w:r>
        <w:rPr>
          <w:rFonts w:ascii="Arial" w:hAnsi="Arial" w:cs="Arial"/>
          <w:sz w:val="24"/>
          <w:szCs w:val="24"/>
        </w:rPr>
        <w:t>30 (trinta) metros, para os cursos d’água de menos de 10 (dez) metros de largura;</w:t>
      </w:r>
    </w:p>
    <w:p w14:paraId="4DD8B8B4" w14:textId="744283A9" w:rsidR="00FB65B8" w:rsidRDefault="00FB65B8" w:rsidP="00FB65B8">
      <w:pPr>
        <w:numPr>
          <w:ilvl w:val="0"/>
          <w:numId w:val="1"/>
        </w:numPr>
        <w:rPr>
          <w:rFonts w:ascii="Arial" w:hAnsi="Arial" w:cs="Arial"/>
          <w:sz w:val="24"/>
          <w:szCs w:val="24"/>
        </w:rPr>
      </w:pPr>
      <w:r>
        <w:rPr>
          <w:rFonts w:ascii="Arial" w:hAnsi="Arial" w:cs="Arial"/>
          <w:sz w:val="24"/>
          <w:szCs w:val="24"/>
        </w:rPr>
        <w:t>50 (c</w:t>
      </w:r>
      <w:r w:rsidR="001158AF">
        <w:rPr>
          <w:rFonts w:ascii="Arial" w:hAnsi="Arial" w:cs="Arial"/>
          <w:sz w:val="24"/>
          <w:szCs w:val="24"/>
        </w:rPr>
        <w:t>i</w:t>
      </w:r>
      <w:r>
        <w:rPr>
          <w:rFonts w:ascii="Arial" w:hAnsi="Arial" w:cs="Arial"/>
          <w:sz w:val="24"/>
          <w:szCs w:val="24"/>
        </w:rPr>
        <w:t>nquenta</w:t>
      </w:r>
      <w:r w:rsidR="001158AF">
        <w:rPr>
          <w:rFonts w:ascii="Arial" w:hAnsi="Arial" w:cs="Arial"/>
          <w:sz w:val="24"/>
          <w:szCs w:val="24"/>
        </w:rPr>
        <w:t>) metros, para, para os cursos d’água que tenham de 10 (dez) a 50 (cinquenta) metros de largura.</w:t>
      </w:r>
    </w:p>
    <w:p w14:paraId="47380E01" w14:textId="5A0EC375" w:rsidR="001158AF" w:rsidRDefault="001158AF" w:rsidP="001158AF">
      <w:pPr>
        <w:rPr>
          <w:rFonts w:ascii="Arial" w:hAnsi="Arial" w:cs="Arial"/>
          <w:sz w:val="24"/>
          <w:szCs w:val="24"/>
        </w:rPr>
      </w:pPr>
      <w:r>
        <w:rPr>
          <w:rFonts w:ascii="Arial" w:hAnsi="Arial" w:cs="Arial"/>
          <w:sz w:val="24"/>
          <w:szCs w:val="24"/>
        </w:rPr>
        <w:t>Os afluentes do Rio Itapecuru, na sua quase totalidade estão incluídos nessas duas faixas de tamanho.</w:t>
      </w:r>
    </w:p>
    <w:p w14:paraId="0FA27DA1" w14:textId="04035567" w:rsidR="001158AF" w:rsidRDefault="001158AF" w:rsidP="001158AF">
      <w:pPr>
        <w:rPr>
          <w:rFonts w:ascii="Arial" w:hAnsi="Arial" w:cs="Arial"/>
          <w:sz w:val="24"/>
          <w:szCs w:val="24"/>
        </w:rPr>
      </w:pPr>
      <w:r>
        <w:rPr>
          <w:rFonts w:ascii="Arial" w:hAnsi="Arial" w:cs="Arial"/>
          <w:sz w:val="24"/>
          <w:szCs w:val="24"/>
        </w:rPr>
        <w:t>A vegetação situada nessas áreas deverá ser mantida pelo proprietário, possuidor ou ocupante a qualquer título, pessoa física ou jurídica, de direito público ou privado e tento havido a supressão, o proprietári</w:t>
      </w:r>
      <w:r w:rsidR="004E37F2">
        <w:rPr>
          <w:rFonts w:ascii="Arial" w:hAnsi="Arial" w:cs="Arial"/>
          <w:sz w:val="24"/>
          <w:szCs w:val="24"/>
        </w:rPr>
        <w:t>o ou possuidor a qualquer título é obrigado a promover a recomposição da vegetação, ressalvados os usos autorizados, também previstos na presente Lei.</w:t>
      </w:r>
    </w:p>
    <w:p w14:paraId="2A114B82" w14:textId="42B2424A" w:rsidR="004E37F2" w:rsidRDefault="004E37F2" w:rsidP="001158AF">
      <w:pPr>
        <w:rPr>
          <w:rFonts w:ascii="Arial" w:hAnsi="Arial" w:cs="Arial"/>
          <w:sz w:val="24"/>
          <w:szCs w:val="24"/>
        </w:rPr>
      </w:pPr>
      <w:r>
        <w:rPr>
          <w:rFonts w:ascii="Arial" w:hAnsi="Arial" w:cs="Arial"/>
          <w:sz w:val="24"/>
          <w:szCs w:val="24"/>
        </w:rPr>
        <w:t>A obrigação tem natureza real e é transmitida ao sucessor no caso de transferência do domínio ou posse do imóvel rural. A supressão de vegetação nativa protetora de nascentes, dunas e restingas somente poderá ser autorizada em caso de utilidade pública.</w:t>
      </w:r>
    </w:p>
    <w:p w14:paraId="34EB641E" w14:textId="2223285B" w:rsidR="001137FB" w:rsidRDefault="003A6A46" w:rsidP="001158AF">
      <w:pPr>
        <w:rPr>
          <w:rFonts w:ascii="Arial" w:hAnsi="Arial" w:cs="Arial"/>
          <w:sz w:val="24"/>
          <w:szCs w:val="24"/>
        </w:rPr>
      </w:pPr>
      <w:r>
        <w:rPr>
          <w:rFonts w:ascii="Arial" w:hAnsi="Arial" w:cs="Arial"/>
          <w:sz w:val="24"/>
          <w:szCs w:val="24"/>
        </w:rPr>
        <w:lastRenderedPageBreak/>
        <w:t xml:space="preserve">A proposta defendida pela Campanha “ITAPECURU – O Rio da Vida Maranhense”, relativamente à regeneração das Áreas de Preservação Permanente e de Reserva Legal, consequentemente áreas protegidas, sejam iniciadas </w:t>
      </w:r>
      <w:r w:rsidR="001137FB">
        <w:rPr>
          <w:rFonts w:ascii="Arial" w:hAnsi="Arial" w:cs="Arial"/>
          <w:sz w:val="24"/>
          <w:szCs w:val="24"/>
        </w:rPr>
        <w:t>pela recuperação das nascentes identificadas em cada um dos imóveis rurais com passivos ambientais comprovados, complementada simultaneamente pela delimitação física e recuperação das áreas de preservação permanente dos cursos d’água delas decorrentes, fazendo com que a ação reparadora se estenda da nascente até o local em que o igarapé desemboque no Rio Itapecuru.</w:t>
      </w:r>
    </w:p>
    <w:p w14:paraId="7AC64F54" w14:textId="2BC64F7C" w:rsidR="001137FB" w:rsidRDefault="00671D9D" w:rsidP="001158AF">
      <w:pPr>
        <w:rPr>
          <w:rFonts w:ascii="Arial" w:hAnsi="Arial" w:cs="Arial"/>
          <w:sz w:val="24"/>
          <w:szCs w:val="24"/>
        </w:rPr>
      </w:pPr>
      <w:r>
        <w:rPr>
          <w:rFonts w:ascii="Arial" w:hAnsi="Arial" w:cs="Arial"/>
          <w:sz w:val="24"/>
          <w:szCs w:val="24"/>
        </w:rPr>
        <w:t>Essa</w:t>
      </w:r>
      <w:r w:rsidR="001137FB">
        <w:rPr>
          <w:rFonts w:ascii="Arial" w:hAnsi="Arial" w:cs="Arial"/>
          <w:sz w:val="24"/>
          <w:szCs w:val="24"/>
        </w:rPr>
        <w:t xml:space="preserve"> estratégia de intervenção</w:t>
      </w:r>
      <w:r>
        <w:rPr>
          <w:rFonts w:ascii="Arial" w:hAnsi="Arial" w:cs="Arial"/>
          <w:sz w:val="24"/>
          <w:szCs w:val="24"/>
        </w:rPr>
        <w:t xml:space="preserve">, denominada “Corredor Ecológico Úmido”, como exposta encontra respaldo legal no Código Florestal – Lei 12.727/2012 e também na Lei Federal nº 9.985/2000 que trata dos Corredores Ecológicos, como forma de garantir a manutenção dos processos ecológicos nas áreas de conexão entre Unidades de Conservação, permitindo a dispersão de espécies, a </w:t>
      </w:r>
      <w:r w:rsidR="0026065C">
        <w:rPr>
          <w:rFonts w:ascii="Arial" w:hAnsi="Arial" w:cs="Arial"/>
          <w:sz w:val="24"/>
          <w:szCs w:val="24"/>
        </w:rPr>
        <w:t xml:space="preserve">recolonização de áreas degradadas, </w:t>
      </w:r>
      <w:r w:rsidR="00D425CB">
        <w:rPr>
          <w:rFonts w:ascii="Arial" w:hAnsi="Arial" w:cs="Arial"/>
          <w:sz w:val="24"/>
          <w:szCs w:val="24"/>
        </w:rPr>
        <w:t>o</w:t>
      </w:r>
      <w:r w:rsidR="0026065C">
        <w:rPr>
          <w:rFonts w:ascii="Arial" w:hAnsi="Arial" w:cs="Arial"/>
          <w:sz w:val="24"/>
          <w:szCs w:val="24"/>
        </w:rPr>
        <w:t xml:space="preserve"> fluxo gênico e a viabilidade de populações que demandam mais do que o território de uma unidade de conservação para sobreviver.</w:t>
      </w:r>
    </w:p>
    <w:p w14:paraId="3AEAD916" w14:textId="7D372D6E" w:rsidR="0026065C" w:rsidRDefault="0026065C" w:rsidP="001158AF">
      <w:pPr>
        <w:rPr>
          <w:rFonts w:ascii="Arial" w:hAnsi="Arial" w:cs="Arial"/>
          <w:sz w:val="24"/>
          <w:szCs w:val="24"/>
        </w:rPr>
      </w:pPr>
      <w:r>
        <w:rPr>
          <w:rFonts w:ascii="Arial" w:hAnsi="Arial" w:cs="Arial"/>
          <w:sz w:val="24"/>
          <w:szCs w:val="24"/>
        </w:rPr>
        <w:t xml:space="preserve">Os Corredores Ecológicos Úmidos, aqui propostos, vão muito além pois permitem que as nascentes se interliguem imediatamente às áreas de preservação prementes dos igarapés e cheguem até o Rio Itapecuru, com muito mais probabilidade de que as áreas reflorestadas </w:t>
      </w:r>
      <w:r w:rsidR="00183874">
        <w:rPr>
          <w:rFonts w:ascii="Arial" w:hAnsi="Arial" w:cs="Arial"/>
          <w:sz w:val="24"/>
          <w:szCs w:val="24"/>
        </w:rPr>
        <w:t>tenham condições de sobreviver aos longos períodos de estiagem, aproximadamente 6 (seis) meses sem chuvas, no rigoroso verão da região.</w:t>
      </w:r>
    </w:p>
    <w:p w14:paraId="7700F0A9" w14:textId="286D2361" w:rsidR="00CF5B11" w:rsidRDefault="00183874" w:rsidP="001158AF">
      <w:pPr>
        <w:rPr>
          <w:rFonts w:ascii="Arial" w:hAnsi="Arial" w:cs="Arial"/>
          <w:sz w:val="24"/>
          <w:szCs w:val="24"/>
        </w:rPr>
      </w:pPr>
      <w:r>
        <w:rPr>
          <w:rFonts w:ascii="Arial" w:hAnsi="Arial" w:cs="Arial"/>
          <w:sz w:val="24"/>
          <w:szCs w:val="24"/>
        </w:rPr>
        <w:t>Além disso, as comunidades ribeirinhas ou tradicionais residentes no imóvel poderão ser envolvidas no processo de regeneração das nascentes, identidade já existente, como também na coleta de sementes, produção de mudas de espécies nativas, além de possibilidade concreta da formação de bosques de produção de frutas regionais, atualmente com alta densidade de renda</w:t>
      </w:r>
      <w:r w:rsidR="00CF5B11">
        <w:rPr>
          <w:rFonts w:ascii="Arial" w:hAnsi="Arial" w:cs="Arial"/>
          <w:sz w:val="24"/>
          <w:szCs w:val="24"/>
        </w:rPr>
        <w:t xml:space="preserve"> (bacuri, cajá, pequi, etc.) nas áreas de preservação objeto de regeneração.</w:t>
      </w:r>
    </w:p>
    <w:p w14:paraId="71422E30" w14:textId="28221434" w:rsidR="00CF5B11" w:rsidRDefault="00CF5B11" w:rsidP="001158AF">
      <w:pPr>
        <w:rPr>
          <w:rFonts w:ascii="Arial" w:hAnsi="Arial" w:cs="Arial"/>
          <w:sz w:val="24"/>
          <w:szCs w:val="24"/>
        </w:rPr>
      </w:pPr>
      <w:r>
        <w:rPr>
          <w:rFonts w:ascii="Arial" w:hAnsi="Arial" w:cs="Arial"/>
          <w:sz w:val="24"/>
          <w:szCs w:val="24"/>
        </w:rPr>
        <w:t xml:space="preserve">Esse trabalho exigirá uma articulação socioinstitucional que envolverá necessariamente os Sistemas </w:t>
      </w:r>
      <w:r w:rsidR="00E765B4">
        <w:rPr>
          <w:rFonts w:ascii="Arial" w:hAnsi="Arial" w:cs="Arial"/>
          <w:sz w:val="24"/>
          <w:szCs w:val="24"/>
        </w:rPr>
        <w:t>Municipal, Estadual e até Federal de Meio Ambiente, com aporte de equipes técnicas e financiamentos, além da ação do Ministério Público Estadual, na adoção das medidas punitivas aos detentores de imóveis com passivos ambientais devidamente apurados.</w:t>
      </w:r>
    </w:p>
    <w:p w14:paraId="72F6695D" w14:textId="6F0A3E32" w:rsidR="00183874" w:rsidRDefault="00183874" w:rsidP="001158AF">
      <w:pPr>
        <w:rPr>
          <w:rFonts w:ascii="Arial" w:hAnsi="Arial" w:cs="Arial"/>
          <w:sz w:val="24"/>
          <w:szCs w:val="24"/>
        </w:rPr>
      </w:pPr>
      <w:r>
        <w:rPr>
          <w:rFonts w:ascii="Arial" w:hAnsi="Arial" w:cs="Arial"/>
          <w:sz w:val="24"/>
          <w:szCs w:val="24"/>
        </w:rPr>
        <w:t xml:space="preserve"> </w:t>
      </w:r>
    </w:p>
    <w:p w14:paraId="36A932B3" w14:textId="26841A22" w:rsidR="006A161A" w:rsidRDefault="001137FB" w:rsidP="001158AF">
      <w:pPr>
        <w:rPr>
          <w:rFonts w:ascii="Arial" w:hAnsi="Arial" w:cs="Arial"/>
          <w:sz w:val="24"/>
          <w:szCs w:val="24"/>
        </w:rPr>
      </w:pPr>
      <w:r>
        <w:rPr>
          <w:rFonts w:ascii="Arial" w:hAnsi="Arial" w:cs="Arial"/>
          <w:sz w:val="24"/>
          <w:szCs w:val="24"/>
        </w:rPr>
        <w:t xml:space="preserve"> </w:t>
      </w:r>
    </w:p>
    <w:p w14:paraId="1D0778CE" w14:textId="77777777" w:rsidR="006A161A" w:rsidRDefault="006A161A" w:rsidP="001158AF">
      <w:pPr>
        <w:rPr>
          <w:rFonts w:ascii="Arial" w:hAnsi="Arial" w:cs="Arial"/>
          <w:sz w:val="24"/>
          <w:szCs w:val="24"/>
        </w:rPr>
      </w:pPr>
    </w:p>
    <w:p w14:paraId="62123E10" w14:textId="77777777" w:rsidR="00FB65B8" w:rsidRPr="00FA3223" w:rsidRDefault="00FB65B8" w:rsidP="00FA3223">
      <w:pPr>
        <w:rPr>
          <w:rFonts w:ascii="Arial" w:hAnsi="Arial" w:cs="Arial"/>
          <w:sz w:val="24"/>
          <w:szCs w:val="24"/>
        </w:rPr>
      </w:pPr>
    </w:p>
    <w:sectPr w:rsidR="00FB65B8" w:rsidRPr="00FA32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B404EC"/>
    <w:multiLevelType w:val="hybridMultilevel"/>
    <w:tmpl w:val="2424F4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12979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2C5"/>
    <w:rsid w:val="00107A79"/>
    <w:rsid w:val="001137FB"/>
    <w:rsid w:val="001158AF"/>
    <w:rsid w:val="00165C64"/>
    <w:rsid w:val="00183874"/>
    <w:rsid w:val="0026065C"/>
    <w:rsid w:val="003622C5"/>
    <w:rsid w:val="003A6A46"/>
    <w:rsid w:val="00460634"/>
    <w:rsid w:val="004E37F2"/>
    <w:rsid w:val="00671D9D"/>
    <w:rsid w:val="006A161A"/>
    <w:rsid w:val="007655BF"/>
    <w:rsid w:val="009F309B"/>
    <w:rsid w:val="00CF5B11"/>
    <w:rsid w:val="00D425CB"/>
    <w:rsid w:val="00E765B4"/>
    <w:rsid w:val="00EE4EA9"/>
    <w:rsid w:val="00FA3223"/>
    <w:rsid w:val="00FB65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AD86F"/>
  <w15:chartTrackingRefBased/>
  <w15:docId w15:val="{23FA3FEE-DFED-4AB7-9F52-A53F1154B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Pages>
  <Words>715</Words>
  <Characters>3861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JOSEMAR SOUSA LIMA</dc:creator>
  <cp:keywords/>
  <dc:description/>
  <cp:lastModifiedBy>JOSEMAR SOUSA LIMA</cp:lastModifiedBy>
  <cp:revision>5</cp:revision>
  <dcterms:created xsi:type="dcterms:W3CDTF">2023-07-16T11:50:00Z</dcterms:created>
  <dcterms:modified xsi:type="dcterms:W3CDTF">2023-07-16T20:34:00Z</dcterms:modified>
</cp:coreProperties>
</file>