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48697" w14:textId="351332FB" w:rsidR="00C74DBD" w:rsidRPr="00C74DBD" w:rsidRDefault="00C74DBD" w:rsidP="00C74DBD">
      <w:pPr>
        <w:jc w:val="center"/>
        <w:rPr>
          <w:rFonts w:ascii="Arial Black" w:hAnsi="Arial Black"/>
          <w:sz w:val="36"/>
          <w:szCs w:val="36"/>
        </w:rPr>
      </w:pPr>
      <w:r w:rsidRPr="00C74DBD">
        <w:rPr>
          <w:rFonts w:ascii="Arial Black" w:hAnsi="Arial Black"/>
          <w:sz w:val="36"/>
          <w:szCs w:val="36"/>
        </w:rPr>
        <w:t>1 – Premissas e Balizamentos:</w:t>
      </w:r>
    </w:p>
    <w:p w14:paraId="3C22A5C0" w14:textId="305EDD64" w:rsidR="00C74DBD" w:rsidRPr="00C74DBD" w:rsidRDefault="00C74DBD">
      <w:pPr>
        <w:rPr>
          <w:rFonts w:ascii="Arial Black" w:hAnsi="Arial Black"/>
        </w:rPr>
      </w:pPr>
      <w:r w:rsidRPr="00C74DBD">
        <w:rPr>
          <w:rFonts w:ascii="Arial Black" w:hAnsi="Arial Black"/>
        </w:rPr>
        <w:t>1.1 – Código Florestal</w:t>
      </w:r>
      <w:r w:rsidR="00796CCA">
        <w:rPr>
          <w:rFonts w:ascii="Arial Black" w:hAnsi="Arial Black"/>
        </w:rPr>
        <w:t xml:space="preserve"> – Lei Federal nº 12.</w:t>
      </w:r>
      <w:r w:rsidR="00906D51">
        <w:rPr>
          <w:rFonts w:ascii="Arial Black" w:hAnsi="Arial Black"/>
        </w:rPr>
        <w:t>651/2012</w:t>
      </w:r>
    </w:p>
    <w:p w14:paraId="0B70D316" w14:textId="025E9C6E" w:rsidR="00C74DBD" w:rsidRDefault="00C74DBD"/>
    <w:p w14:paraId="0359A52C" w14:textId="67F10FA8" w:rsidR="00C74DBD" w:rsidRPr="0058039A" w:rsidRDefault="00C74DBD" w:rsidP="00C74DBD">
      <w:pPr>
        <w:pStyle w:val="texto2"/>
        <w:spacing w:before="300" w:beforeAutospacing="0" w:after="300" w:afterAutospacing="0"/>
        <w:ind w:firstLine="570"/>
        <w:jc w:val="both"/>
        <w:rPr>
          <w:rFonts w:ascii="Arial" w:hAnsi="Arial" w:cs="Arial"/>
          <w:color w:val="FF0000"/>
          <w:sz w:val="28"/>
          <w:szCs w:val="28"/>
        </w:rPr>
      </w:pPr>
      <w:r w:rsidRPr="0058039A">
        <w:rPr>
          <w:rFonts w:ascii="Arial" w:hAnsi="Arial" w:cs="Arial"/>
          <w:color w:val="FF0000"/>
          <w:sz w:val="20"/>
          <w:szCs w:val="20"/>
        </w:rPr>
        <w:t> </w:t>
      </w:r>
      <w:bookmarkStart w:id="0" w:name="art1a."/>
      <w:bookmarkEnd w:id="0"/>
      <w:r w:rsidRPr="0058039A">
        <w:rPr>
          <w:rFonts w:ascii="Arial" w:hAnsi="Arial" w:cs="Arial"/>
          <w:color w:val="FF0000"/>
          <w:sz w:val="28"/>
          <w:szCs w:val="28"/>
        </w:rPr>
        <w:t>Art. 1º-A. Esta Lei estabelece normas gerais sobre a proteção da vegetação, áreas de Preservação Permanente e as áreas de Reserva Legal; a exploração florestal, o suprimento de matéria-prima florestal, o controle da origem dos produtos florestais e o controle e prevenção dos incêndios florestais, e prevê instrumentos econômicos e financeiros para o alcance de seus objetivos. </w:t>
      </w:r>
      <w:hyperlink r:id="rId4" w:history="1">
        <w:r w:rsidRPr="0058039A">
          <w:rPr>
            <w:rStyle w:val="Hyperlink"/>
            <w:rFonts w:ascii="Arial" w:hAnsi="Arial" w:cs="Arial"/>
            <w:color w:val="FF0000"/>
            <w:sz w:val="28"/>
            <w:szCs w:val="28"/>
          </w:rPr>
          <w:t>(Incluído pela Lei nº 12.727, de 2012).</w:t>
        </w:r>
      </w:hyperlink>
    </w:p>
    <w:p w14:paraId="25F29333" w14:textId="77777777" w:rsidR="00110EC9" w:rsidRPr="00C74DBD" w:rsidRDefault="00110EC9" w:rsidP="00110EC9">
      <w:pPr>
        <w:pStyle w:val="texto2"/>
        <w:spacing w:before="300" w:beforeAutospacing="0" w:after="300" w:afterAutospacing="0"/>
        <w:jc w:val="both"/>
        <w:rPr>
          <w:rFonts w:ascii="Arial" w:hAnsi="Arial" w:cs="Arial"/>
          <w:color w:val="000000"/>
          <w:sz w:val="28"/>
          <w:szCs w:val="28"/>
        </w:rPr>
      </w:pPr>
    </w:p>
    <w:p w14:paraId="02A3EC99" w14:textId="00812916" w:rsidR="00C74DBD" w:rsidRPr="0058039A" w:rsidRDefault="00110EC9">
      <w:pPr>
        <w:rPr>
          <w:rFonts w:ascii="Arial Black" w:hAnsi="Arial Black" w:cs="Arial"/>
          <w:sz w:val="24"/>
          <w:szCs w:val="24"/>
        </w:rPr>
      </w:pPr>
      <w:r w:rsidRPr="0058039A">
        <w:rPr>
          <w:rFonts w:ascii="Arial Black" w:hAnsi="Arial Black" w:cs="Arial"/>
          <w:sz w:val="24"/>
          <w:szCs w:val="24"/>
        </w:rPr>
        <w:t>IV - responsabilidade comum da União, Estados, Distrito Federal e Municípios, em colaboração com a sociedade civil, na criação de políticas para a preservação e restauração da vegetação nativa e de suas funções ecológicas e sociais nas áreas urbanas e rurais; </w:t>
      </w:r>
      <w:hyperlink r:id="rId5" w:history="1">
        <w:r w:rsidRPr="0058039A">
          <w:rPr>
            <w:rStyle w:val="Hyperlink"/>
            <w:rFonts w:ascii="Arial Black" w:hAnsi="Arial Black" w:cs="Arial"/>
            <w:color w:val="auto"/>
            <w:sz w:val="24"/>
            <w:szCs w:val="24"/>
          </w:rPr>
          <w:t>(Incluído pela Lei nº 12.727, de 2012).</w:t>
        </w:r>
      </w:hyperlink>
    </w:p>
    <w:p w14:paraId="7611DFD2" w14:textId="26C46949" w:rsidR="00110EC9" w:rsidRDefault="00110EC9">
      <w:pPr>
        <w:rPr>
          <w:rFonts w:ascii="Arial" w:hAnsi="Arial" w:cs="Arial"/>
          <w:color w:val="000000"/>
          <w:sz w:val="20"/>
          <w:szCs w:val="20"/>
        </w:rPr>
      </w:pPr>
    </w:p>
    <w:p w14:paraId="50E66C9E" w14:textId="77777777" w:rsidR="00110EC9" w:rsidRDefault="00110EC9" w:rsidP="00110EC9">
      <w:pPr>
        <w:pStyle w:val="texto1"/>
        <w:ind w:firstLine="570"/>
        <w:jc w:val="both"/>
        <w:rPr>
          <w:rFonts w:ascii="Arial" w:hAnsi="Arial" w:cs="Arial"/>
          <w:color w:val="000000"/>
          <w:sz w:val="20"/>
          <w:szCs w:val="20"/>
        </w:rPr>
      </w:pPr>
      <w:bookmarkStart w:id="1" w:name="c3"/>
      <w:bookmarkEnd w:id="1"/>
      <w:r>
        <w:rPr>
          <w:rFonts w:ascii="Arial" w:hAnsi="Arial" w:cs="Arial"/>
          <w:color w:val="000000"/>
          <w:sz w:val="20"/>
          <w:szCs w:val="20"/>
        </w:rPr>
        <w:t> </w:t>
      </w:r>
      <w:bookmarkStart w:id="2" w:name="art3"/>
      <w:bookmarkEnd w:id="2"/>
      <w:r>
        <w:rPr>
          <w:rFonts w:ascii="Arial" w:hAnsi="Arial" w:cs="Arial"/>
          <w:color w:val="000000"/>
          <w:sz w:val="20"/>
          <w:szCs w:val="20"/>
        </w:rPr>
        <w:t>Art. 3º Para os efeitos desta Lei, entende-se por:</w:t>
      </w:r>
    </w:p>
    <w:p w14:paraId="32E1D8E5" w14:textId="77777777" w:rsidR="00110EC9" w:rsidRPr="0058039A" w:rsidRDefault="00110EC9" w:rsidP="00110EC9">
      <w:pPr>
        <w:pStyle w:val="texto1"/>
        <w:ind w:firstLine="570"/>
        <w:jc w:val="both"/>
        <w:rPr>
          <w:rFonts w:ascii="Arial Black" w:hAnsi="Arial Black" w:cs="Arial"/>
          <w:color w:val="000000"/>
        </w:rPr>
      </w:pPr>
      <w:bookmarkStart w:id="3" w:name="art3i"/>
      <w:bookmarkEnd w:id="3"/>
      <w:r w:rsidRPr="0058039A">
        <w:rPr>
          <w:rFonts w:ascii="Arial Black" w:hAnsi="Arial Black" w:cs="Arial"/>
          <w:color w:val="000000"/>
        </w:rPr>
        <w:t>I - Amazônia Legal: os Estados do Acre, Pará, Amazonas, Roraima, Rondônia, Amapá e Mato Grosso e as regiões situadas ao norte do paralelo 13º S, dos Estados de Tocantins e Goiás, e ao oeste do meridiano de 44º W, do Estado do Maranhão;</w:t>
      </w:r>
    </w:p>
    <w:p w14:paraId="5807ED69" w14:textId="13FD06A7" w:rsidR="00110EC9" w:rsidRDefault="00110EC9"/>
    <w:p w14:paraId="4EAAD12C" w14:textId="77777777" w:rsidR="00110EC9" w:rsidRPr="0058039A" w:rsidRDefault="00110EC9" w:rsidP="00110EC9">
      <w:pPr>
        <w:pStyle w:val="texto1"/>
        <w:ind w:firstLine="570"/>
        <w:jc w:val="both"/>
        <w:rPr>
          <w:rFonts w:ascii="Arial Black" w:hAnsi="Arial Black" w:cs="Arial"/>
          <w:color w:val="000000"/>
        </w:rPr>
      </w:pPr>
      <w:r w:rsidRPr="0058039A">
        <w:rPr>
          <w:rFonts w:ascii="Arial Black" w:hAnsi="Arial Black" w:cs="Arial"/>
          <w:color w:val="000000"/>
        </w:rPr>
        <w:t>II - Área de Preservação Permanente - APP: área protegida, coberta ou não por vegetação nativa, com a função ambiental de preservar os recursos hídricos, a paisagem, a estabilidade geológica e a biodiversidade, facilitar o fluxo gênico de fauna e flora, proteger o solo e assegurar o bem-estar das populações humanas;</w:t>
      </w:r>
    </w:p>
    <w:p w14:paraId="0A276B6A" w14:textId="77777777" w:rsidR="00110EC9" w:rsidRPr="0058039A" w:rsidRDefault="00110EC9" w:rsidP="00110EC9">
      <w:pPr>
        <w:pStyle w:val="texto1"/>
        <w:ind w:firstLine="570"/>
        <w:jc w:val="both"/>
        <w:rPr>
          <w:rFonts w:ascii="Arial Black" w:hAnsi="Arial Black" w:cs="Arial"/>
          <w:color w:val="000000"/>
        </w:rPr>
      </w:pPr>
      <w:bookmarkStart w:id="4" w:name="art3iii"/>
      <w:bookmarkEnd w:id="4"/>
      <w:r w:rsidRPr="0058039A">
        <w:rPr>
          <w:rFonts w:ascii="Arial Black" w:hAnsi="Arial Black" w:cs="Arial"/>
          <w:color w:val="000000"/>
        </w:rPr>
        <w:t xml:space="preserve">III - Reserva Legal: área localizada no interior de uma propriedade ou posse rural, delimitada nos termos do art. 12, com a função de assegurar o uso econômico de modo sustentável dos recursos naturais do imóvel rural, auxiliar a conservação e a </w:t>
      </w:r>
      <w:r w:rsidRPr="0058039A">
        <w:rPr>
          <w:rFonts w:ascii="Arial Black" w:hAnsi="Arial Black" w:cs="Arial"/>
          <w:color w:val="000000"/>
        </w:rPr>
        <w:lastRenderedPageBreak/>
        <w:t>reabilitação dos processos ecológicos e promover a conservação da biodiversidade, bem como o abrigo e a proteção de fauna silvestre e da flora nativa;</w:t>
      </w:r>
    </w:p>
    <w:p w14:paraId="6CF4F734" w14:textId="4C06E7F8" w:rsidR="00110EC9" w:rsidRDefault="00110EC9"/>
    <w:p w14:paraId="11889FF9" w14:textId="77777777" w:rsidR="00997CDC" w:rsidRDefault="00997CDC" w:rsidP="00997CDC">
      <w:pPr>
        <w:pStyle w:val="cabea"/>
        <w:ind w:firstLine="432"/>
        <w:jc w:val="center"/>
        <w:rPr>
          <w:rFonts w:ascii="Arial" w:hAnsi="Arial" w:cs="Arial"/>
          <w:color w:val="000000"/>
          <w:sz w:val="20"/>
          <w:szCs w:val="20"/>
        </w:rPr>
      </w:pPr>
      <w:r>
        <w:rPr>
          <w:rFonts w:ascii="Arial" w:hAnsi="Arial" w:cs="Arial"/>
          <w:b/>
          <w:bCs/>
          <w:color w:val="000000"/>
          <w:sz w:val="20"/>
          <w:szCs w:val="20"/>
        </w:rPr>
        <w:t>Da Delimitação das Áreas de Preservação Permanente</w:t>
      </w:r>
    </w:p>
    <w:p w14:paraId="416DD120" w14:textId="77777777" w:rsidR="00997CDC" w:rsidRPr="0058039A" w:rsidRDefault="00997CDC" w:rsidP="00997CDC">
      <w:pPr>
        <w:pStyle w:val="texto1"/>
        <w:ind w:firstLine="570"/>
        <w:jc w:val="both"/>
        <w:rPr>
          <w:rFonts w:ascii="Arial Black" w:hAnsi="Arial Black" w:cs="Arial"/>
          <w:color w:val="000000"/>
        </w:rPr>
      </w:pPr>
      <w:bookmarkStart w:id="5" w:name="c4"/>
      <w:bookmarkEnd w:id="5"/>
      <w:r w:rsidRPr="0058039A">
        <w:rPr>
          <w:rFonts w:ascii="Arial Black" w:hAnsi="Arial Black" w:cs="Arial"/>
          <w:color w:val="000000"/>
        </w:rPr>
        <w:t> </w:t>
      </w:r>
      <w:bookmarkStart w:id="6" w:name="art4"/>
      <w:bookmarkEnd w:id="6"/>
      <w:r w:rsidRPr="0058039A">
        <w:rPr>
          <w:rFonts w:ascii="Arial Black" w:hAnsi="Arial Black" w:cs="Arial"/>
          <w:color w:val="000000"/>
        </w:rPr>
        <w:t>Art. 4º Considera-se Área de Preservação Permanente, em zonas rurais ou urbanas, para os efeitos desta Lei:</w:t>
      </w:r>
    </w:p>
    <w:p w14:paraId="2CFC7EE9" w14:textId="77777777" w:rsidR="00997CDC" w:rsidRDefault="00997CDC" w:rsidP="00997CDC">
      <w:pPr>
        <w:pStyle w:val="texto1"/>
        <w:ind w:firstLine="570"/>
        <w:jc w:val="both"/>
        <w:rPr>
          <w:rFonts w:ascii="Arial" w:hAnsi="Arial" w:cs="Arial"/>
          <w:color w:val="000000"/>
          <w:sz w:val="20"/>
          <w:szCs w:val="20"/>
        </w:rPr>
      </w:pPr>
      <w:bookmarkStart w:id="7" w:name="art4i.0"/>
      <w:bookmarkEnd w:id="7"/>
      <w:r>
        <w:rPr>
          <w:rFonts w:ascii="Arial" w:hAnsi="Arial" w:cs="Arial"/>
          <w:strike/>
          <w:color w:val="000000"/>
          <w:sz w:val="20"/>
          <w:szCs w:val="20"/>
        </w:rPr>
        <w:t>I - as faixas marginais de qualquer curso d’água natural, desde a borda da calha do leito regular, em largura mínima de:</w:t>
      </w:r>
    </w:p>
    <w:p w14:paraId="6D9D72A7" w14:textId="77777777" w:rsidR="00997CDC" w:rsidRPr="003A3B5F" w:rsidRDefault="00997CDC" w:rsidP="00997CDC">
      <w:pPr>
        <w:pStyle w:val="texto1"/>
        <w:ind w:firstLine="570"/>
        <w:jc w:val="both"/>
        <w:rPr>
          <w:rFonts w:ascii="Arial Black" w:hAnsi="Arial Black" w:cs="Arial"/>
          <w:color w:val="000000"/>
        </w:rPr>
      </w:pPr>
      <w:bookmarkStart w:id="8" w:name="art4i"/>
      <w:bookmarkEnd w:id="8"/>
      <w:r w:rsidRPr="003A3B5F">
        <w:rPr>
          <w:rFonts w:ascii="Arial Black" w:hAnsi="Arial Black" w:cs="Arial"/>
          <w:color w:val="000000"/>
        </w:rPr>
        <w:t>I - as faixas marginais de qualquer curso d’água natural perene e intermitente, excluídos os efêmeros, desde a borda da calha do leito regular, em largura mínima de: </w:t>
      </w:r>
      <w:hyperlink r:id="rId6" w:history="1">
        <w:r w:rsidRPr="003A3B5F">
          <w:rPr>
            <w:rStyle w:val="Hyperlink"/>
            <w:rFonts w:ascii="Arial Black" w:hAnsi="Arial Black" w:cs="Arial"/>
          </w:rPr>
          <w:t>(Incluído pela Lei nº 12.727, de 2012).</w:t>
        </w:r>
      </w:hyperlink>
    </w:p>
    <w:p w14:paraId="4C4471D8" w14:textId="77777777" w:rsidR="00997CDC" w:rsidRPr="006E6AF9" w:rsidRDefault="00997CDC" w:rsidP="00997CDC">
      <w:pPr>
        <w:pStyle w:val="texto1"/>
        <w:ind w:firstLine="570"/>
        <w:jc w:val="both"/>
        <w:rPr>
          <w:rFonts w:ascii="Arial Black" w:hAnsi="Arial Black" w:cs="Arial"/>
          <w:color w:val="000000"/>
        </w:rPr>
      </w:pPr>
      <w:bookmarkStart w:id="9" w:name="art4ia"/>
      <w:bookmarkEnd w:id="9"/>
      <w:r w:rsidRPr="006E6AF9">
        <w:rPr>
          <w:rFonts w:ascii="Arial Black" w:hAnsi="Arial Black" w:cs="Arial"/>
          <w:color w:val="000000"/>
        </w:rPr>
        <w:t>a) 30 (trinta) metros, para os cursos d’água de menos de 10 (dez) metros de largura;</w:t>
      </w:r>
    </w:p>
    <w:p w14:paraId="78D04B00" w14:textId="77777777" w:rsidR="00997CDC" w:rsidRDefault="00997CDC" w:rsidP="00997CDC">
      <w:pPr>
        <w:pStyle w:val="texto1"/>
        <w:ind w:firstLine="570"/>
        <w:jc w:val="both"/>
        <w:rPr>
          <w:rFonts w:ascii="Arial" w:hAnsi="Arial" w:cs="Arial"/>
          <w:color w:val="000000"/>
          <w:sz w:val="20"/>
          <w:szCs w:val="20"/>
        </w:rPr>
      </w:pPr>
      <w:bookmarkStart w:id="10" w:name="art4ib"/>
      <w:bookmarkEnd w:id="10"/>
      <w:r>
        <w:rPr>
          <w:rFonts w:ascii="Arial" w:hAnsi="Arial" w:cs="Arial"/>
          <w:color w:val="000000"/>
          <w:sz w:val="20"/>
          <w:szCs w:val="20"/>
        </w:rPr>
        <w:t>b) 50 (cinquenta) metros, para os cursos d’água que tenham de 10 (dez) a 50 (cinquenta) metros de largura;</w:t>
      </w:r>
    </w:p>
    <w:p w14:paraId="69DA2F8A" w14:textId="77777777" w:rsidR="00997CDC" w:rsidRPr="006E6AF9" w:rsidRDefault="00997CDC" w:rsidP="00997CDC">
      <w:pPr>
        <w:pStyle w:val="texto1"/>
        <w:ind w:firstLine="570"/>
        <w:jc w:val="both"/>
        <w:rPr>
          <w:rFonts w:ascii="Arial Black" w:hAnsi="Arial Black" w:cs="Arial"/>
          <w:color w:val="000000"/>
        </w:rPr>
      </w:pPr>
      <w:bookmarkStart w:id="11" w:name="art4ic"/>
      <w:bookmarkEnd w:id="11"/>
      <w:r w:rsidRPr="006E6AF9">
        <w:rPr>
          <w:rFonts w:ascii="Arial Black" w:hAnsi="Arial Black" w:cs="Arial"/>
          <w:color w:val="000000"/>
        </w:rPr>
        <w:t>c) 100 (cem) metros, para os cursos d’água que tenham de 50 (cinquenta) a 200 (duzentos) metros de largura;</w:t>
      </w:r>
    </w:p>
    <w:p w14:paraId="725EBABD" w14:textId="77777777" w:rsidR="00997CDC" w:rsidRDefault="00997CDC" w:rsidP="00997CDC">
      <w:pPr>
        <w:pStyle w:val="texto1"/>
        <w:ind w:firstLine="570"/>
        <w:jc w:val="both"/>
        <w:rPr>
          <w:rFonts w:ascii="Arial" w:hAnsi="Arial" w:cs="Arial"/>
          <w:color w:val="000000"/>
          <w:sz w:val="20"/>
          <w:szCs w:val="20"/>
        </w:rPr>
      </w:pPr>
      <w:bookmarkStart w:id="12" w:name="art4id"/>
      <w:bookmarkEnd w:id="12"/>
      <w:r>
        <w:rPr>
          <w:rFonts w:ascii="Arial" w:hAnsi="Arial" w:cs="Arial"/>
          <w:color w:val="000000"/>
          <w:sz w:val="20"/>
          <w:szCs w:val="20"/>
        </w:rPr>
        <w:t>d) 200 (duzentos) metros, para os cursos d’água que tenham de 200 (duzentos) a 600 (seiscentos) metros de largura;</w:t>
      </w:r>
    </w:p>
    <w:p w14:paraId="372EDD4C" w14:textId="77777777" w:rsidR="00997CDC" w:rsidRDefault="00997CDC" w:rsidP="00997CDC">
      <w:pPr>
        <w:pStyle w:val="texto1"/>
        <w:ind w:firstLine="570"/>
        <w:jc w:val="both"/>
        <w:rPr>
          <w:rFonts w:ascii="Arial" w:hAnsi="Arial" w:cs="Arial"/>
          <w:color w:val="000000"/>
          <w:sz w:val="20"/>
          <w:szCs w:val="20"/>
        </w:rPr>
      </w:pPr>
      <w:bookmarkStart w:id="13" w:name="art4ie"/>
      <w:bookmarkEnd w:id="13"/>
      <w:r>
        <w:rPr>
          <w:rFonts w:ascii="Arial" w:hAnsi="Arial" w:cs="Arial"/>
          <w:color w:val="000000"/>
          <w:sz w:val="20"/>
          <w:szCs w:val="20"/>
        </w:rPr>
        <w:t>e) 500 (quinhentos) metros, para os cursos d’água que tenham largura superior a 600 (seiscentos) metros;</w:t>
      </w:r>
    </w:p>
    <w:p w14:paraId="1BEC712C" w14:textId="77777777" w:rsidR="00997CDC" w:rsidRDefault="00997CDC" w:rsidP="00997CDC">
      <w:pPr>
        <w:pStyle w:val="texto1"/>
        <w:ind w:firstLine="570"/>
        <w:jc w:val="both"/>
        <w:rPr>
          <w:rFonts w:ascii="Arial" w:hAnsi="Arial" w:cs="Arial"/>
          <w:color w:val="000000"/>
          <w:sz w:val="20"/>
          <w:szCs w:val="20"/>
        </w:rPr>
      </w:pPr>
      <w:bookmarkStart w:id="14" w:name="art4ii"/>
      <w:bookmarkEnd w:id="14"/>
      <w:r>
        <w:rPr>
          <w:rFonts w:ascii="Arial" w:hAnsi="Arial" w:cs="Arial"/>
          <w:color w:val="000000"/>
          <w:sz w:val="20"/>
          <w:szCs w:val="20"/>
        </w:rPr>
        <w:t>II - as áreas no entorno dos lagos e lagoas naturais, em faixa com largura mínima de:</w:t>
      </w:r>
    </w:p>
    <w:p w14:paraId="58BE602D" w14:textId="77777777" w:rsidR="00997CDC" w:rsidRDefault="00997CDC" w:rsidP="00997CDC">
      <w:pPr>
        <w:pStyle w:val="texto1"/>
        <w:ind w:firstLine="570"/>
        <w:jc w:val="both"/>
        <w:rPr>
          <w:rFonts w:ascii="Arial" w:hAnsi="Arial" w:cs="Arial"/>
          <w:color w:val="000000"/>
          <w:sz w:val="20"/>
          <w:szCs w:val="20"/>
        </w:rPr>
      </w:pPr>
      <w:bookmarkStart w:id="15" w:name="art4iia"/>
      <w:bookmarkEnd w:id="15"/>
      <w:r>
        <w:rPr>
          <w:rFonts w:ascii="Arial" w:hAnsi="Arial" w:cs="Arial"/>
          <w:color w:val="000000"/>
          <w:sz w:val="20"/>
          <w:szCs w:val="20"/>
        </w:rPr>
        <w:t>a) 100 (cem) metros, em zonas rurais, exceto para o corpo d’água com até 20 (vinte) hectares de superfície, cuja faixa marginal será de 50 (cinquenta) metros;</w:t>
      </w:r>
    </w:p>
    <w:p w14:paraId="62A38527" w14:textId="3B0CCE65" w:rsidR="00997CDC" w:rsidRDefault="00997CDC" w:rsidP="00997CDC">
      <w:pPr>
        <w:pStyle w:val="texto1"/>
        <w:ind w:firstLine="570"/>
        <w:jc w:val="both"/>
        <w:rPr>
          <w:rFonts w:ascii="Arial" w:hAnsi="Arial" w:cs="Arial"/>
          <w:color w:val="000000"/>
          <w:sz w:val="20"/>
          <w:szCs w:val="20"/>
        </w:rPr>
      </w:pPr>
      <w:bookmarkStart w:id="16" w:name="art4iib"/>
      <w:bookmarkEnd w:id="16"/>
      <w:r>
        <w:rPr>
          <w:rFonts w:ascii="Arial" w:hAnsi="Arial" w:cs="Arial"/>
          <w:color w:val="000000"/>
          <w:sz w:val="20"/>
          <w:szCs w:val="20"/>
        </w:rPr>
        <w:t>b) 30 (trinta) metros, em zonas urbanas.</w:t>
      </w:r>
    </w:p>
    <w:p w14:paraId="30E87184" w14:textId="77777777" w:rsidR="00997CDC" w:rsidRDefault="00997CDC" w:rsidP="00997CDC">
      <w:pPr>
        <w:pStyle w:val="texto1"/>
        <w:jc w:val="both"/>
        <w:rPr>
          <w:rFonts w:ascii="Arial" w:hAnsi="Arial" w:cs="Arial"/>
          <w:color w:val="000000"/>
          <w:sz w:val="20"/>
          <w:szCs w:val="20"/>
        </w:rPr>
      </w:pPr>
    </w:p>
    <w:p w14:paraId="1B6835DB" w14:textId="77777777" w:rsidR="00997CDC" w:rsidRDefault="00997CDC" w:rsidP="00997CDC">
      <w:pPr>
        <w:pStyle w:val="cabea"/>
        <w:ind w:firstLine="432"/>
        <w:jc w:val="center"/>
        <w:rPr>
          <w:rFonts w:ascii="Arial" w:hAnsi="Arial" w:cs="Arial"/>
          <w:color w:val="000000"/>
          <w:sz w:val="20"/>
          <w:szCs w:val="20"/>
        </w:rPr>
      </w:pPr>
      <w:r>
        <w:rPr>
          <w:rFonts w:ascii="Arial" w:hAnsi="Arial" w:cs="Arial"/>
          <w:b/>
          <w:bCs/>
          <w:color w:val="000000"/>
          <w:sz w:val="20"/>
          <w:szCs w:val="20"/>
        </w:rPr>
        <w:t>Do Regime de Proteção das Áreas de Preservação Permanente</w:t>
      </w:r>
    </w:p>
    <w:p w14:paraId="07E6D121" w14:textId="77777777" w:rsidR="00997CDC" w:rsidRPr="006E6AF9" w:rsidRDefault="00997CDC" w:rsidP="00997CDC">
      <w:pPr>
        <w:pStyle w:val="texto1"/>
        <w:ind w:firstLine="570"/>
        <w:jc w:val="both"/>
        <w:rPr>
          <w:rFonts w:ascii="Arial Black" w:hAnsi="Arial Black" w:cs="Arial"/>
          <w:color w:val="000000"/>
        </w:rPr>
      </w:pPr>
      <w:bookmarkStart w:id="17" w:name="c7"/>
      <w:bookmarkEnd w:id="17"/>
      <w:r>
        <w:rPr>
          <w:rFonts w:ascii="Arial" w:hAnsi="Arial" w:cs="Arial"/>
          <w:color w:val="000000"/>
          <w:sz w:val="20"/>
          <w:szCs w:val="20"/>
        </w:rPr>
        <w:t> </w:t>
      </w:r>
      <w:bookmarkStart w:id="18" w:name="art7"/>
      <w:bookmarkEnd w:id="18"/>
      <w:r w:rsidRPr="006E6AF9">
        <w:rPr>
          <w:rFonts w:ascii="Arial Black" w:hAnsi="Arial Black" w:cs="Arial"/>
          <w:color w:val="000000"/>
        </w:rPr>
        <w:t>Art. 7º A vegetação situada em Área de Preservação Permanente deverá ser mantida pelo proprietário da área, possuidor ou ocupante a qualquer título, pessoa física ou jurídica, de direito público ou privado.</w:t>
      </w:r>
    </w:p>
    <w:p w14:paraId="3CF185CD" w14:textId="77777777" w:rsidR="00997CDC" w:rsidRPr="006E6AF9" w:rsidRDefault="00997CDC" w:rsidP="00997CDC">
      <w:pPr>
        <w:pStyle w:val="texto1"/>
        <w:ind w:firstLine="570"/>
        <w:jc w:val="both"/>
        <w:rPr>
          <w:rFonts w:ascii="Arial Black" w:hAnsi="Arial Black" w:cs="Arial"/>
          <w:color w:val="000000"/>
        </w:rPr>
      </w:pPr>
      <w:bookmarkStart w:id="19" w:name="art7§1"/>
      <w:bookmarkEnd w:id="19"/>
      <w:r w:rsidRPr="006E6AF9">
        <w:rPr>
          <w:rFonts w:ascii="Arial Black" w:hAnsi="Arial Black" w:cs="Arial"/>
          <w:color w:val="000000"/>
        </w:rPr>
        <w:lastRenderedPageBreak/>
        <w:t>§ 1º Tendo ocorrido supressão de vegetação situada em Área de Preservação Permanente, o proprietário da área, possuidor ou ocupante a qualquer título é obrigado a promover a recomposição da vegetação, ressalvados os usos autorizados previstos nesta Lei.</w:t>
      </w:r>
    </w:p>
    <w:p w14:paraId="18A6E6C3" w14:textId="77777777" w:rsidR="00997CDC" w:rsidRPr="006E6AF9" w:rsidRDefault="00997CDC" w:rsidP="00997CDC">
      <w:pPr>
        <w:pStyle w:val="texto1"/>
        <w:ind w:firstLine="570"/>
        <w:jc w:val="both"/>
        <w:rPr>
          <w:rFonts w:ascii="Arial Black" w:hAnsi="Arial Black" w:cs="Arial"/>
          <w:color w:val="000000"/>
        </w:rPr>
      </w:pPr>
      <w:bookmarkStart w:id="20" w:name="art7§2"/>
      <w:bookmarkEnd w:id="20"/>
      <w:r w:rsidRPr="006E6AF9">
        <w:rPr>
          <w:rFonts w:ascii="Arial Black" w:hAnsi="Arial Black" w:cs="Arial"/>
          <w:color w:val="000000"/>
        </w:rPr>
        <w:t>§ 2º A obrigação prevista no § 1º tem natureza real e é transmitida ao sucessor no caso de transferência de domínio ou posse do imóvel rural.</w:t>
      </w:r>
    </w:p>
    <w:p w14:paraId="55EF7FC9" w14:textId="77777777" w:rsidR="00997CDC" w:rsidRDefault="00997CDC" w:rsidP="00997CDC">
      <w:pPr>
        <w:pStyle w:val="texto1"/>
        <w:ind w:firstLine="570"/>
        <w:jc w:val="both"/>
        <w:rPr>
          <w:rFonts w:ascii="Arial" w:hAnsi="Arial" w:cs="Arial"/>
          <w:color w:val="000000"/>
          <w:sz w:val="20"/>
          <w:szCs w:val="20"/>
        </w:rPr>
      </w:pPr>
      <w:bookmarkStart w:id="21" w:name="art7§3"/>
      <w:bookmarkEnd w:id="21"/>
      <w:r w:rsidRPr="006E6AF9">
        <w:rPr>
          <w:rFonts w:ascii="Arial Black" w:hAnsi="Arial Black" w:cs="Arial"/>
          <w:color w:val="000000"/>
        </w:rPr>
        <w:t>§ 3º No caso de supressão não autorizada de vegetação realizada após 22 de julho de 2008, é vedada a concessão de novas autorizações de supressão de vegetação enquanto não cumpridas as obrigações previstas no § 1º .    </w:t>
      </w:r>
      <w:hyperlink r:id="rId7" w:history="1">
        <w:r w:rsidRPr="006E6AF9">
          <w:rPr>
            <w:rStyle w:val="Hyperlink"/>
            <w:rFonts w:ascii="Arial Black" w:hAnsi="Arial Black" w:cs="Arial"/>
          </w:rPr>
          <w:t>(Vide ADIN Nº 4.937) </w:t>
        </w:r>
      </w:hyperlink>
      <w:r w:rsidRPr="006E6AF9">
        <w:rPr>
          <w:rFonts w:ascii="Arial Black" w:hAnsi="Arial Black" w:cs="Arial"/>
          <w:color w:val="000000"/>
        </w:rPr>
        <w:t>                </w:t>
      </w:r>
      <w:hyperlink r:id="rId8" w:history="1">
        <w:r w:rsidRPr="006E6AF9">
          <w:rPr>
            <w:rStyle w:val="Hyperlink"/>
            <w:rFonts w:ascii="Arial Black" w:hAnsi="Arial Black" w:cs="Arial"/>
          </w:rPr>
          <w:t>(Vide ADC Nº 42) </w:t>
        </w:r>
      </w:hyperlink>
      <w:r w:rsidRPr="006E6AF9">
        <w:rPr>
          <w:rFonts w:ascii="Arial Black" w:hAnsi="Arial Black" w:cs="Arial"/>
          <w:color w:val="000000"/>
        </w:rPr>
        <w:t>         </w:t>
      </w:r>
      <w:hyperlink r:id="rId9" w:history="1">
        <w:r w:rsidRPr="006E6AF9">
          <w:rPr>
            <w:rStyle w:val="Hyperlink"/>
            <w:rFonts w:ascii="Arial Black" w:hAnsi="Arial Black" w:cs="Arial"/>
          </w:rPr>
          <w:t>(Vide ADIN Nº 4.902) </w:t>
        </w:r>
      </w:hyperlink>
      <w:r>
        <w:rPr>
          <w:rFonts w:ascii="Arial" w:hAnsi="Arial" w:cs="Arial"/>
          <w:color w:val="000000"/>
          <w:sz w:val="20"/>
          <w:szCs w:val="20"/>
        </w:rPr>
        <w:t>     </w:t>
      </w:r>
    </w:p>
    <w:p w14:paraId="60061DA8" w14:textId="77777777" w:rsidR="00997CDC" w:rsidRPr="006E6AF9" w:rsidRDefault="00997CDC" w:rsidP="00997CDC">
      <w:pPr>
        <w:pStyle w:val="texto1"/>
        <w:ind w:firstLine="570"/>
        <w:jc w:val="both"/>
        <w:rPr>
          <w:rFonts w:ascii="Arial Black" w:hAnsi="Arial Black" w:cs="Arial"/>
          <w:color w:val="000000"/>
        </w:rPr>
      </w:pPr>
      <w:bookmarkStart w:id="22" w:name="c8"/>
      <w:bookmarkEnd w:id="22"/>
      <w:r>
        <w:rPr>
          <w:rFonts w:ascii="Arial" w:hAnsi="Arial" w:cs="Arial"/>
          <w:color w:val="000000"/>
          <w:sz w:val="20"/>
          <w:szCs w:val="20"/>
        </w:rPr>
        <w:t> </w:t>
      </w:r>
      <w:bookmarkStart w:id="23" w:name="art8"/>
      <w:bookmarkEnd w:id="23"/>
      <w:r w:rsidRPr="006E6AF9">
        <w:rPr>
          <w:rFonts w:ascii="Arial Black" w:hAnsi="Arial Black" w:cs="Arial"/>
          <w:color w:val="000000"/>
        </w:rPr>
        <w:t>Art. 8º A intervenção ou a supressão de vegetação nativa em Área de Preservação Permanente somente ocorrerá nas hipóteses de utilidade pública, de interesse social ou de baixo impacto ambiental previstas nesta Lei.</w:t>
      </w:r>
    </w:p>
    <w:p w14:paraId="65AC957D" w14:textId="77777777" w:rsidR="00997CDC" w:rsidRPr="006E6AF9" w:rsidRDefault="00997CDC" w:rsidP="00997CDC">
      <w:pPr>
        <w:pStyle w:val="texto1"/>
        <w:ind w:firstLine="570"/>
        <w:jc w:val="both"/>
        <w:rPr>
          <w:rFonts w:ascii="Arial Black" w:hAnsi="Arial Black" w:cs="Arial"/>
          <w:color w:val="000000"/>
        </w:rPr>
      </w:pPr>
      <w:bookmarkStart w:id="24" w:name="art8§1"/>
      <w:bookmarkEnd w:id="24"/>
      <w:r w:rsidRPr="006E6AF9">
        <w:rPr>
          <w:rFonts w:ascii="Arial Black" w:hAnsi="Arial Black" w:cs="Arial"/>
          <w:color w:val="000000"/>
        </w:rPr>
        <w:t>§ 1º A supressão de vegetação nativa protetora de nascentes, dunas e restingas somente poderá ser autorizada em caso de utilidade pública.</w:t>
      </w:r>
    </w:p>
    <w:p w14:paraId="28EFC5FC" w14:textId="77777777" w:rsidR="00997CDC" w:rsidRDefault="00997CDC" w:rsidP="00997CDC">
      <w:pPr>
        <w:pStyle w:val="texto1"/>
        <w:ind w:firstLine="570"/>
        <w:jc w:val="both"/>
        <w:rPr>
          <w:rFonts w:ascii="Arial" w:hAnsi="Arial" w:cs="Arial"/>
          <w:color w:val="000000"/>
          <w:sz w:val="20"/>
          <w:szCs w:val="20"/>
        </w:rPr>
      </w:pPr>
      <w:bookmarkStart w:id="25" w:name="art8§2"/>
      <w:bookmarkEnd w:id="25"/>
      <w:r>
        <w:rPr>
          <w:rFonts w:ascii="Arial" w:hAnsi="Arial" w:cs="Arial"/>
          <w:color w:val="000000"/>
          <w:sz w:val="20"/>
          <w:szCs w:val="20"/>
        </w:rPr>
        <w:t>§ 2º A intervenção ou a supressão de vegetação nativa em Área de Preservação Permanente de que tratam os incisos VI e VII do caput do art. 4º poderá ser autorizada, excepcionalmente, em locais onde a função ecológica do manguezal esteja comprometida, para execução de obras habitacionais e de urbanização, inseridas em projetos de regularização fundiária de interesse social, em áreas urbanas consolidadas ocupadas por população de baixa renda.   </w:t>
      </w:r>
      <w:hyperlink r:id="rId10" w:history="1">
        <w:r>
          <w:rPr>
            <w:rStyle w:val="Hyperlink"/>
            <w:rFonts w:ascii="Arial" w:hAnsi="Arial" w:cs="Arial"/>
            <w:sz w:val="20"/>
            <w:szCs w:val="20"/>
          </w:rPr>
          <w:t>(Vide ADC Nº 42) </w:t>
        </w:r>
      </w:hyperlink>
      <w:r>
        <w:rPr>
          <w:rFonts w:ascii="Arial" w:hAnsi="Arial" w:cs="Arial"/>
          <w:color w:val="000000"/>
          <w:sz w:val="20"/>
          <w:szCs w:val="20"/>
        </w:rPr>
        <w:t>     </w:t>
      </w:r>
      <w:hyperlink r:id="rId11" w:history="1">
        <w:r>
          <w:rPr>
            <w:rStyle w:val="Hyperlink"/>
            <w:rFonts w:ascii="Arial" w:hAnsi="Arial" w:cs="Arial"/>
            <w:sz w:val="20"/>
            <w:szCs w:val="20"/>
          </w:rPr>
          <w:t>(Vide ADIN Nº 4.903)</w:t>
        </w:r>
      </w:hyperlink>
    </w:p>
    <w:p w14:paraId="118B2BC4" w14:textId="77777777" w:rsidR="00997CDC" w:rsidRDefault="00997CDC" w:rsidP="00997CDC">
      <w:pPr>
        <w:pStyle w:val="texto1"/>
        <w:ind w:firstLine="570"/>
        <w:jc w:val="both"/>
        <w:rPr>
          <w:rFonts w:ascii="Arial" w:hAnsi="Arial" w:cs="Arial"/>
          <w:color w:val="000000"/>
          <w:sz w:val="20"/>
          <w:szCs w:val="20"/>
        </w:rPr>
      </w:pPr>
      <w:bookmarkStart w:id="26" w:name="art8§3"/>
      <w:bookmarkEnd w:id="26"/>
      <w:r>
        <w:rPr>
          <w:rFonts w:ascii="Arial" w:hAnsi="Arial" w:cs="Arial"/>
          <w:color w:val="000000"/>
          <w:sz w:val="20"/>
          <w:szCs w:val="20"/>
        </w:rPr>
        <w:t>§ 3º É dispensada a autorização do órgão ambiental competente para a execução, em caráter de urgência, de atividades de segurança nacional e obras de interesse da defesa civil destinadas à prevenção e mitigação de acidentes em áreas urbanas.</w:t>
      </w:r>
    </w:p>
    <w:p w14:paraId="231AC22A" w14:textId="77777777" w:rsidR="00997CDC" w:rsidRDefault="00997CDC" w:rsidP="00997CDC">
      <w:pPr>
        <w:pStyle w:val="texto1"/>
        <w:ind w:firstLine="570"/>
        <w:jc w:val="both"/>
        <w:rPr>
          <w:rFonts w:ascii="Arial" w:hAnsi="Arial" w:cs="Arial"/>
          <w:color w:val="000000"/>
          <w:sz w:val="20"/>
          <w:szCs w:val="20"/>
        </w:rPr>
      </w:pPr>
      <w:bookmarkStart w:id="27" w:name="art8§4"/>
      <w:bookmarkEnd w:id="27"/>
      <w:r>
        <w:rPr>
          <w:rFonts w:ascii="Arial" w:hAnsi="Arial" w:cs="Arial"/>
          <w:color w:val="000000"/>
          <w:sz w:val="20"/>
          <w:szCs w:val="20"/>
        </w:rPr>
        <w:t>§ 4º Não haverá, em qualquer hipótese, direito à regularização de futuras intervenções ou supressões de vegetação nativa, além das previstas nesta Lei.</w:t>
      </w:r>
    </w:p>
    <w:p w14:paraId="5497956E" w14:textId="7815D35B" w:rsidR="00997CDC" w:rsidRDefault="00997CDC" w:rsidP="00997CDC">
      <w:pPr>
        <w:pStyle w:val="texto1"/>
        <w:ind w:firstLine="570"/>
        <w:jc w:val="both"/>
        <w:rPr>
          <w:rFonts w:ascii="Arial" w:hAnsi="Arial" w:cs="Arial"/>
          <w:color w:val="000000"/>
          <w:sz w:val="20"/>
          <w:szCs w:val="20"/>
        </w:rPr>
      </w:pPr>
      <w:bookmarkStart w:id="28" w:name="c9"/>
      <w:bookmarkEnd w:id="28"/>
      <w:r>
        <w:rPr>
          <w:rFonts w:ascii="Arial" w:hAnsi="Arial" w:cs="Arial"/>
          <w:color w:val="000000"/>
          <w:sz w:val="20"/>
          <w:szCs w:val="20"/>
        </w:rPr>
        <w:t> </w:t>
      </w:r>
      <w:bookmarkStart w:id="29" w:name="art9"/>
      <w:bookmarkEnd w:id="29"/>
      <w:r>
        <w:rPr>
          <w:rFonts w:ascii="Arial" w:hAnsi="Arial" w:cs="Arial"/>
          <w:color w:val="000000"/>
          <w:sz w:val="20"/>
          <w:szCs w:val="20"/>
        </w:rPr>
        <w:t>Art. 9º É permitido o acesso de pessoas e animais às Áreas de Preservação Permanente para obtenção de água e para realização de atividades de baixo impacto ambiental</w:t>
      </w:r>
      <w:r w:rsidR="00AE0FD0">
        <w:rPr>
          <w:rFonts w:ascii="Arial" w:hAnsi="Arial" w:cs="Arial"/>
          <w:color w:val="000000"/>
          <w:sz w:val="20"/>
          <w:szCs w:val="20"/>
        </w:rPr>
        <w:t>.</w:t>
      </w:r>
    </w:p>
    <w:p w14:paraId="785A3FB1" w14:textId="6C4DCBAE" w:rsidR="00AE0FD0" w:rsidRDefault="00AE0FD0" w:rsidP="00997CDC">
      <w:pPr>
        <w:pStyle w:val="texto1"/>
        <w:ind w:firstLine="570"/>
        <w:jc w:val="both"/>
        <w:rPr>
          <w:rFonts w:ascii="Arial" w:hAnsi="Arial" w:cs="Arial"/>
          <w:color w:val="000000"/>
          <w:sz w:val="20"/>
          <w:szCs w:val="20"/>
        </w:rPr>
      </w:pPr>
    </w:p>
    <w:p w14:paraId="7F8BCF6A" w14:textId="31A1036E" w:rsidR="00F36514" w:rsidRDefault="00F36514" w:rsidP="00997CDC">
      <w:pPr>
        <w:pStyle w:val="texto1"/>
        <w:ind w:firstLine="570"/>
        <w:jc w:val="both"/>
        <w:rPr>
          <w:rFonts w:ascii="Arial" w:hAnsi="Arial" w:cs="Arial"/>
          <w:color w:val="000000"/>
          <w:sz w:val="20"/>
          <w:szCs w:val="20"/>
        </w:rPr>
      </w:pPr>
    </w:p>
    <w:p w14:paraId="090D586C" w14:textId="77777777" w:rsidR="00F36514" w:rsidRDefault="00F36514" w:rsidP="00997CDC">
      <w:pPr>
        <w:pStyle w:val="texto1"/>
        <w:ind w:firstLine="570"/>
        <w:jc w:val="both"/>
        <w:rPr>
          <w:rFonts w:ascii="Arial" w:hAnsi="Arial" w:cs="Arial"/>
          <w:color w:val="000000"/>
          <w:sz w:val="20"/>
          <w:szCs w:val="20"/>
        </w:rPr>
      </w:pPr>
    </w:p>
    <w:p w14:paraId="5FF28D3A" w14:textId="77777777" w:rsidR="00AE0FD0" w:rsidRDefault="00AE0FD0" w:rsidP="00AE0FD0">
      <w:pPr>
        <w:pStyle w:val="cabea"/>
        <w:ind w:firstLine="432"/>
        <w:jc w:val="center"/>
        <w:rPr>
          <w:rFonts w:ascii="Arial" w:hAnsi="Arial" w:cs="Arial"/>
          <w:color w:val="000000"/>
          <w:sz w:val="20"/>
          <w:szCs w:val="20"/>
        </w:rPr>
      </w:pPr>
      <w:r>
        <w:rPr>
          <w:rFonts w:ascii="Arial" w:hAnsi="Arial" w:cs="Arial"/>
          <w:color w:val="000000"/>
          <w:sz w:val="20"/>
          <w:szCs w:val="20"/>
        </w:rPr>
        <w:lastRenderedPageBreak/>
        <w:t>DA ÁREA DE RESERVA LEGAL</w:t>
      </w:r>
    </w:p>
    <w:p w14:paraId="7720CF25" w14:textId="77777777" w:rsidR="00AE0FD0" w:rsidRDefault="00AE0FD0" w:rsidP="00AE0FD0">
      <w:pPr>
        <w:pStyle w:val="cabea"/>
        <w:ind w:firstLine="432"/>
        <w:jc w:val="center"/>
        <w:rPr>
          <w:rFonts w:ascii="Arial" w:hAnsi="Arial" w:cs="Arial"/>
          <w:color w:val="000000"/>
          <w:sz w:val="20"/>
          <w:szCs w:val="20"/>
        </w:rPr>
      </w:pPr>
      <w:bookmarkStart w:id="30" w:name="capituloivsecaoi"/>
      <w:bookmarkEnd w:id="30"/>
      <w:r>
        <w:rPr>
          <w:rFonts w:ascii="Arial" w:hAnsi="Arial" w:cs="Arial"/>
          <w:b/>
          <w:bCs/>
          <w:color w:val="000000"/>
          <w:sz w:val="20"/>
          <w:szCs w:val="20"/>
        </w:rPr>
        <w:t>Seção I</w:t>
      </w:r>
    </w:p>
    <w:p w14:paraId="40B7BFEB" w14:textId="77777777" w:rsidR="00AE0FD0" w:rsidRPr="00F36514" w:rsidRDefault="00AE0FD0" w:rsidP="00AE0FD0">
      <w:pPr>
        <w:pStyle w:val="cabea"/>
        <w:ind w:firstLine="432"/>
        <w:jc w:val="center"/>
        <w:rPr>
          <w:rFonts w:ascii="Arial Black" w:hAnsi="Arial Black" w:cs="Arial"/>
        </w:rPr>
      </w:pPr>
      <w:r w:rsidRPr="00F36514">
        <w:rPr>
          <w:rFonts w:ascii="Arial Black" w:hAnsi="Arial Black" w:cs="Arial"/>
          <w:b/>
          <w:bCs/>
        </w:rPr>
        <w:t>Da Delimitação da Área de Reserva Legal</w:t>
      </w:r>
    </w:p>
    <w:p w14:paraId="644A6F6A" w14:textId="77777777" w:rsidR="00AE0FD0" w:rsidRPr="00F36514" w:rsidRDefault="00AE0FD0" w:rsidP="00AE0FD0">
      <w:pPr>
        <w:pStyle w:val="texto1"/>
        <w:ind w:firstLine="570"/>
        <w:jc w:val="both"/>
        <w:rPr>
          <w:rFonts w:ascii="Arial Black" w:hAnsi="Arial Black" w:cs="Arial"/>
          <w:color w:val="000000"/>
        </w:rPr>
      </w:pPr>
      <w:bookmarkStart w:id="31" w:name="art12."/>
      <w:bookmarkEnd w:id="31"/>
      <w:r w:rsidRPr="00F36514">
        <w:rPr>
          <w:rFonts w:ascii="Arial Black" w:hAnsi="Arial Black" w:cs="Arial"/>
          <w:strike/>
          <w:color w:val="000000"/>
        </w:rPr>
        <w:t>Art. 12. Todo imóvel rural deve manter área com cobertura de vegetação nativa, a título de Reserva Legal, sem prejuízo da aplicação das normas sobre as Áreas de Preservação Permanente, observados os seguintes percentuais mínimos em relação à área do imóvel:</w:t>
      </w:r>
    </w:p>
    <w:p w14:paraId="16A11592" w14:textId="77777777" w:rsidR="00AE0FD0" w:rsidRPr="00F36514" w:rsidRDefault="00AE0FD0" w:rsidP="00AE0FD0">
      <w:pPr>
        <w:pStyle w:val="texto1"/>
        <w:ind w:firstLine="570"/>
        <w:jc w:val="both"/>
        <w:rPr>
          <w:rFonts w:ascii="Arial Black" w:hAnsi="Arial Black" w:cs="Arial"/>
        </w:rPr>
      </w:pPr>
      <w:bookmarkStart w:id="32" w:name="c12"/>
      <w:bookmarkEnd w:id="32"/>
      <w:r w:rsidRPr="00F36514">
        <w:rPr>
          <w:rFonts w:ascii="Arial Black" w:hAnsi="Arial Black" w:cs="Arial"/>
        </w:rPr>
        <w:t> </w:t>
      </w:r>
      <w:bookmarkStart w:id="33" w:name="art12"/>
      <w:bookmarkEnd w:id="33"/>
      <w:r w:rsidRPr="00F36514">
        <w:rPr>
          <w:rFonts w:ascii="Arial Black" w:hAnsi="Arial Black" w:cs="Arial"/>
        </w:rPr>
        <w:t>Art. 12. Todo imóvel rural deve manter área com cobertura de vegetação nativa, a título de Reserva Legal, sem prejuízo da aplicação das normas sobre as Áreas de Preservação Permanente, observados os seguintes percentuais mínimos em relação à área do imóvel, excetuados os casos previstos no art. 68 desta Lei: </w:t>
      </w:r>
      <w:hyperlink r:id="rId12" w:history="1">
        <w:r w:rsidRPr="00F36514">
          <w:rPr>
            <w:rStyle w:val="Hyperlink"/>
            <w:rFonts w:ascii="Arial Black" w:hAnsi="Arial Black" w:cs="Arial"/>
            <w:color w:val="auto"/>
          </w:rPr>
          <w:t>(Redação dada pela Lei nº 12.727, de 2012).</w:t>
        </w:r>
      </w:hyperlink>
    </w:p>
    <w:p w14:paraId="3CC53045" w14:textId="77777777" w:rsidR="00AE0FD0" w:rsidRPr="00F36514" w:rsidRDefault="00AE0FD0" w:rsidP="00AE0FD0">
      <w:pPr>
        <w:pStyle w:val="texto1"/>
        <w:ind w:firstLine="570"/>
        <w:jc w:val="both"/>
        <w:rPr>
          <w:rFonts w:ascii="Arial Black" w:hAnsi="Arial Black" w:cs="Arial"/>
        </w:rPr>
      </w:pPr>
      <w:bookmarkStart w:id="34" w:name="art12i"/>
      <w:bookmarkEnd w:id="34"/>
      <w:r w:rsidRPr="00F36514">
        <w:rPr>
          <w:rFonts w:ascii="Arial Black" w:hAnsi="Arial Black" w:cs="Arial"/>
        </w:rPr>
        <w:t>I - localizado na Amazônia Legal:</w:t>
      </w:r>
    </w:p>
    <w:p w14:paraId="73D9A3AD" w14:textId="77777777" w:rsidR="00AE0FD0" w:rsidRPr="00F36514" w:rsidRDefault="00AE0FD0" w:rsidP="00AE0FD0">
      <w:pPr>
        <w:pStyle w:val="texto1"/>
        <w:ind w:firstLine="570"/>
        <w:jc w:val="both"/>
        <w:rPr>
          <w:rFonts w:ascii="Arial Black" w:hAnsi="Arial Black" w:cs="Arial"/>
        </w:rPr>
      </w:pPr>
      <w:bookmarkStart w:id="35" w:name="art12ia"/>
      <w:bookmarkEnd w:id="35"/>
      <w:r w:rsidRPr="00F36514">
        <w:rPr>
          <w:rFonts w:ascii="Arial Black" w:hAnsi="Arial Black" w:cs="Arial"/>
        </w:rPr>
        <w:t>a) 80% (oitenta por cento), no imóvel situado em área de florestas;</w:t>
      </w:r>
    </w:p>
    <w:p w14:paraId="7F69112A" w14:textId="77777777" w:rsidR="00AE0FD0" w:rsidRPr="00F36514" w:rsidRDefault="00AE0FD0" w:rsidP="00AE0FD0">
      <w:pPr>
        <w:pStyle w:val="texto1"/>
        <w:ind w:firstLine="570"/>
        <w:jc w:val="both"/>
        <w:rPr>
          <w:rFonts w:ascii="Arial Black" w:hAnsi="Arial Black" w:cs="Arial"/>
        </w:rPr>
      </w:pPr>
      <w:bookmarkStart w:id="36" w:name="art12ib"/>
      <w:bookmarkEnd w:id="36"/>
      <w:r w:rsidRPr="00F36514">
        <w:rPr>
          <w:rFonts w:ascii="Arial Black" w:hAnsi="Arial Black" w:cs="Arial"/>
        </w:rPr>
        <w:t>b) 35% (trinta e cinco por cento), no imóvel situado em área de cerrado;</w:t>
      </w:r>
    </w:p>
    <w:p w14:paraId="7CC4790E" w14:textId="77777777" w:rsidR="00AE0FD0" w:rsidRPr="00F36514" w:rsidRDefault="00AE0FD0" w:rsidP="00AE0FD0">
      <w:pPr>
        <w:pStyle w:val="texto1"/>
        <w:ind w:firstLine="570"/>
        <w:jc w:val="both"/>
        <w:rPr>
          <w:rFonts w:ascii="Arial Black" w:hAnsi="Arial Black" w:cs="Arial"/>
        </w:rPr>
      </w:pPr>
      <w:bookmarkStart w:id="37" w:name="art12ic"/>
      <w:bookmarkEnd w:id="37"/>
      <w:r w:rsidRPr="00F36514">
        <w:rPr>
          <w:rFonts w:ascii="Arial Black" w:hAnsi="Arial Black" w:cs="Arial"/>
        </w:rPr>
        <w:t>c) 20% (vinte por cento), no imóvel situado em área de campos gerais;</w:t>
      </w:r>
    </w:p>
    <w:p w14:paraId="18651795" w14:textId="77777777" w:rsidR="00AE0FD0" w:rsidRPr="00F36514" w:rsidRDefault="00AE0FD0" w:rsidP="00AE0FD0">
      <w:pPr>
        <w:pStyle w:val="texto1"/>
        <w:ind w:firstLine="570"/>
        <w:jc w:val="both"/>
        <w:rPr>
          <w:rFonts w:ascii="Arial Black" w:hAnsi="Arial Black" w:cs="Arial"/>
        </w:rPr>
      </w:pPr>
      <w:bookmarkStart w:id="38" w:name="art12ii"/>
      <w:bookmarkEnd w:id="38"/>
      <w:r w:rsidRPr="00F36514">
        <w:rPr>
          <w:rFonts w:ascii="Arial Black" w:hAnsi="Arial Black" w:cs="Arial"/>
        </w:rPr>
        <w:t>II - localizado nas demais regiões do País: 20% (vinte por cento).</w:t>
      </w:r>
    </w:p>
    <w:p w14:paraId="79466E97" w14:textId="77777777" w:rsidR="00AE0FD0" w:rsidRPr="00F36514" w:rsidRDefault="00AE0FD0" w:rsidP="00AE0FD0">
      <w:pPr>
        <w:pStyle w:val="texto1"/>
        <w:ind w:firstLine="570"/>
        <w:jc w:val="both"/>
        <w:rPr>
          <w:rFonts w:ascii="Arial Black" w:hAnsi="Arial Black" w:cs="Arial"/>
          <w:color w:val="000000"/>
        </w:rPr>
      </w:pPr>
      <w:bookmarkStart w:id="39" w:name="art12§1"/>
      <w:bookmarkEnd w:id="39"/>
      <w:r w:rsidRPr="00F36514">
        <w:rPr>
          <w:rFonts w:ascii="Arial Black" w:hAnsi="Arial Black" w:cs="Arial"/>
          <w:color w:val="000000"/>
        </w:rPr>
        <w:t>§ 1º Em caso de fracionamento do imóvel rural, a qualquer título, inclusive para assentamentos pelo Programa de Reforma Agrária, será considerada, para fins do disposto do caput , a área do imóvel antes do fracionamento.</w:t>
      </w:r>
    </w:p>
    <w:p w14:paraId="1E0D914A" w14:textId="77777777" w:rsidR="00AE0FD0" w:rsidRPr="00F36514" w:rsidRDefault="00AE0FD0" w:rsidP="00AE0FD0">
      <w:pPr>
        <w:pStyle w:val="texto1"/>
        <w:ind w:firstLine="570"/>
        <w:jc w:val="both"/>
        <w:rPr>
          <w:rFonts w:ascii="Arial Black" w:hAnsi="Arial Black" w:cs="Arial"/>
          <w:color w:val="000000"/>
        </w:rPr>
      </w:pPr>
      <w:bookmarkStart w:id="40" w:name="art12§2"/>
      <w:bookmarkEnd w:id="40"/>
      <w:r w:rsidRPr="00F36514">
        <w:rPr>
          <w:rFonts w:ascii="Arial Black" w:hAnsi="Arial Black" w:cs="Arial"/>
          <w:color w:val="000000"/>
        </w:rPr>
        <w:t>§ 2º O percentual de Reserva Legal em imóvel situado em área de formações florestais, de cerrado ou de campos gerais na Amazônia Legal será definido considerando separadamente os índices contidos nas alíneas </w:t>
      </w:r>
      <w:r w:rsidRPr="00F36514">
        <w:rPr>
          <w:rFonts w:ascii="Arial Black" w:hAnsi="Arial Black" w:cs="Arial"/>
          <w:i/>
          <w:iCs/>
          <w:color w:val="000000"/>
        </w:rPr>
        <w:t>a, b </w:t>
      </w:r>
      <w:r w:rsidRPr="00F36514">
        <w:rPr>
          <w:rFonts w:ascii="Arial Black" w:hAnsi="Arial Black" w:cs="Arial"/>
          <w:color w:val="000000"/>
        </w:rPr>
        <w:t>e </w:t>
      </w:r>
      <w:r w:rsidRPr="00F36514">
        <w:rPr>
          <w:rFonts w:ascii="Arial Black" w:hAnsi="Arial Black" w:cs="Arial"/>
          <w:i/>
          <w:iCs/>
          <w:color w:val="000000"/>
        </w:rPr>
        <w:t>c </w:t>
      </w:r>
      <w:r w:rsidRPr="00F36514">
        <w:rPr>
          <w:rFonts w:ascii="Arial Black" w:hAnsi="Arial Black" w:cs="Arial"/>
          <w:color w:val="000000"/>
        </w:rPr>
        <w:t>do inciso I do caput .</w:t>
      </w:r>
    </w:p>
    <w:p w14:paraId="098B963C" w14:textId="77777777" w:rsidR="00AE0FD0" w:rsidRDefault="00AE0FD0" w:rsidP="00AE0FD0">
      <w:pPr>
        <w:pStyle w:val="texto1"/>
        <w:ind w:firstLine="570"/>
        <w:jc w:val="both"/>
        <w:rPr>
          <w:rFonts w:ascii="Arial" w:hAnsi="Arial" w:cs="Arial"/>
          <w:color w:val="000000"/>
          <w:sz w:val="20"/>
          <w:szCs w:val="20"/>
        </w:rPr>
      </w:pPr>
      <w:bookmarkStart w:id="41" w:name="art12§3"/>
      <w:bookmarkEnd w:id="41"/>
      <w:r w:rsidRPr="00F36514">
        <w:rPr>
          <w:rFonts w:ascii="Arial Black" w:hAnsi="Arial Black" w:cs="Arial"/>
          <w:color w:val="000000"/>
        </w:rPr>
        <w:lastRenderedPageBreak/>
        <w:t>§ 3º Após a implantação do CAR, a supressão de novas áreas de floresta ou outras formas de vegetação nativa apenas será autorizada pelo órgão ambiental estadual integrante do Sisnama se o imóvel estiver inserido no mencionado cadastro, ressalvado o previsto no art. 30</w:t>
      </w:r>
      <w:r>
        <w:rPr>
          <w:rFonts w:ascii="Arial" w:hAnsi="Arial" w:cs="Arial"/>
          <w:color w:val="000000"/>
          <w:sz w:val="20"/>
          <w:szCs w:val="20"/>
        </w:rPr>
        <w:t>.</w:t>
      </w:r>
    </w:p>
    <w:p w14:paraId="4B0F20D0" w14:textId="77777777" w:rsidR="00AE0FD0" w:rsidRDefault="00AE0FD0" w:rsidP="00AE0FD0">
      <w:pPr>
        <w:pStyle w:val="texto1"/>
        <w:ind w:firstLine="570"/>
        <w:jc w:val="both"/>
        <w:rPr>
          <w:rFonts w:ascii="Arial" w:hAnsi="Arial" w:cs="Arial"/>
          <w:color w:val="000000"/>
          <w:sz w:val="20"/>
          <w:szCs w:val="20"/>
        </w:rPr>
      </w:pPr>
      <w:bookmarkStart w:id="42" w:name="art12§4"/>
      <w:bookmarkEnd w:id="42"/>
      <w:r>
        <w:rPr>
          <w:rFonts w:ascii="Arial" w:hAnsi="Arial" w:cs="Arial"/>
          <w:color w:val="000000"/>
          <w:sz w:val="20"/>
          <w:szCs w:val="20"/>
        </w:rPr>
        <w:t>§ 4º Nos casos da alínea </w:t>
      </w:r>
      <w:r>
        <w:rPr>
          <w:rFonts w:ascii="Arial" w:hAnsi="Arial" w:cs="Arial"/>
          <w:i/>
          <w:iCs/>
          <w:color w:val="000000"/>
          <w:sz w:val="20"/>
          <w:szCs w:val="20"/>
        </w:rPr>
        <w:t>a </w:t>
      </w:r>
      <w:r>
        <w:rPr>
          <w:rFonts w:ascii="Arial" w:hAnsi="Arial" w:cs="Arial"/>
          <w:color w:val="000000"/>
          <w:sz w:val="20"/>
          <w:szCs w:val="20"/>
        </w:rPr>
        <w:t>do inciso I, o poder público poderá reduzir a Reserva Legal para até 50% (cinquenta por cento), para fins de recomposição, quando o Município tiver mais de 50% (cinquenta por cento) da área ocupada por unidades de conservação da natureza de domínio público e por terras indígenas homologadas.    </w:t>
      </w:r>
      <w:hyperlink r:id="rId13" w:history="1">
        <w:r>
          <w:rPr>
            <w:rStyle w:val="Hyperlink"/>
            <w:rFonts w:ascii="Arial" w:hAnsi="Arial" w:cs="Arial"/>
            <w:sz w:val="20"/>
            <w:szCs w:val="20"/>
          </w:rPr>
          <w:t>(Vide ADC Nº 42)       </w:t>
        </w:r>
      </w:hyperlink>
      <w:hyperlink r:id="rId14" w:history="1">
        <w:r>
          <w:rPr>
            <w:rStyle w:val="Hyperlink"/>
            <w:rFonts w:ascii="Arial" w:hAnsi="Arial" w:cs="Arial"/>
            <w:sz w:val="20"/>
            <w:szCs w:val="20"/>
          </w:rPr>
          <w:t>(Vide ADIN Nº 4.901)</w:t>
        </w:r>
      </w:hyperlink>
    </w:p>
    <w:p w14:paraId="1E6A9B10" w14:textId="77777777" w:rsidR="00AE0FD0" w:rsidRDefault="00AE0FD0" w:rsidP="00AE0FD0">
      <w:pPr>
        <w:pStyle w:val="texto1"/>
        <w:ind w:firstLine="570"/>
        <w:jc w:val="both"/>
        <w:rPr>
          <w:rFonts w:ascii="Arial" w:hAnsi="Arial" w:cs="Arial"/>
          <w:color w:val="000000"/>
          <w:sz w:val="20"/>
          <w:szCs w:val="20"/>
        </w:rPr>
      </w:pPr>
      <w:bookmarkStart w:id="43" w:name="art12§5"/>
      <w:bookmarkEnd w:id="43"/>
      <w:r>
        <w:rPr>
          <w:rFonts w:ascii="Arial" w:hAnsi="Arial" w:cs="Arial"/>
          <w:color w:val="000000"/>
          <w:sz w:val="20"/>
          <w:szCs w:val="20"/>
        </w:rPr>
        <w:t>§ 5º Nos casos da alínea </w:t>
      </w:r>
      <w:r>
        <w:rPr>
          <w:rFonts w:ascii="Arial" w:hAnsi="Arial" w:cs="Arial"/>
          <w:i/>
          <w:iCs/>
          <w:color w:val="000000"/>
          <w:sz w:val="20"/>
          <w:szCs w:val="20"/>
        </w:rPr>
        <w:t>a </w:t>
      </w:r>
      <w:r>
        <w:rPr>
          <w:rFonts w:ascii="Arial" w:hAnsi="Arial" w:cs="Arial"/>
          <w:color w:val="000000"/>
          <w:sz w:val="20"/>
          <w:szCs w:val="20"/>
        </w:rPr>
        <w:t>do inciso I, o poder público estadual, ouvido o Conselho Estadual de Meio Ambiente, poderá reduzir a Reserva Legal para até 50% (cinquenta por cento), quando o Estado tiver Zoneamento Ecológico-Econômico aprovado e mais de 65% (sessenta e cinco por cento) do seu território ocupado por unidades de conservação da natureza de domínio público, devidamente regularizadas, e por terras indígenas homologadas.   </w:t>
      </w:r>
      <w:hyperlink r:id="rId15" w:history="1">
        <w:r>
          <w:rPr>
            <w:rStyle w:val="Hyperlink"/>
            <w:rFonts w:ascii="Arial" w:hAnsi="Arial" w:cs="Arial"/>
            <w:sz w:val="20"/>
            <w:szCs w:val="20"/>
          </w:rPr>
          <w:t>(Vide ADC Nº 42)       </w:t>
        </w:r>
      </w:hyperlink>
      <w:hyperlink r:id="rId16" w:history="1">
        <w:r>
          <w:rPr>
            <w:rStyle w:val="Hyperlink"/>
            <w:rFonts w:ascii="Arial" w:hAnsi="Arial" w:cs="Arial"/>
            <w:sz w:val="20"/>
            <w:szCs w:val="20"/>
          </w:rPr>
          <w:t>(Vide ADIN Nº 4.901)</w:t>
        </w:r>
      </w:hyperlink>
    </w:p>
    <w:p w14:paraId="7ACB83EF" w14:textId="77777777" w:rsidR="00AE0FD0" w:rsidRDefault="00AE0FD0" w:rsidP="00AE0FD0">
      <w:pPr>
        <w:pStyle w:val="texto1"/>
        <w:ind w:firstLine="570"/>
        <w:jc w:val="both"/>
        <w:rPr>
          <w:rFonts w:ascii="Arial" w:hAnsi="Arial" w:cs="Arial"/>
          <w:color w:val="000000"/>
          <w:sz w:val="20"/>
          <w:szCs w:val="20"/>
        </w:rPr>
      </w:pPr>
      <w:bookmarkStart w:id="44" w:name="art12§6"/>
      <w:bookmarkEnd w:id="44"/>
      <w:r>
        <w:rPr>
          <w:rFonts w:ascii="Arial" w:hAnsi="Arial" w:cs="Arial"/>
          <w:color w:val="000000"/>
          <w:sz w:val="20"/>
          <w:szCs w:val="20"/>
        </w:rPr>
        <w:t>§ 6º Os empreendimentos de abastecimento público de água e tratamento de esgoto não estão sujeitos à constituição de Reserva Legal.    </w:t>
      </w:r>
      <w:hyperlink r:id="rId17" w:history="1">
        <w:r>
          <w:rPr>
            <w:rStyle w:val="Hyperlink"/>
            <w:rFonts w:ascii="Arial" w:hAnsi="Arial" w:cs="Arial"/>
            <w:sz w:val="20"/>
            <w:szCs w:val="20"/>
          </w:rPr>
          <w:t>(Vide ADC Nº 42)       </w:t>
        </w:r>
      </w:hyperlink>
      <w:hyperlink r:id="rId18" w:history="1">
        <w:r>
          <w:rPr>
            <w:rStyle w:val="Hyperlink"/>
            <w:rFonts w:ascii="Arial" w:hAnsi="Arial" w:cs="Arial"/>
            <w:sz w:val="20"/>
            <w:szCs w:val="20"/>
          </w:rPr>
          <w:t>(Vide ADIN Nº 4.901)</w:t>
        </w:r>
      </w:hyperlink>
    </w:p>
    <w:p w14:paraId="6C9160D5" w14:textId="77777777" w:rsidR="00AE0FD0" w:rsidRDefault="00AE0FD0" w:rsidP="00AE0FD0">
      <w:pPr>
        <w:pStyle w:val="texto1"/>
        <w:ind w:firstLine="570"/>
        <w:jc w:val="both"/>
        <w:rPr>
          <w:rFonts w:ascii="Arial" w:hAnsi="Arial" w:cs="Arial"/>
          <w:color w:val="000000"/>
          <w:sz w:val="20"/>
          <w:szCs w:val="20"/>
        </w:rPr>
      </w:pPr>
      <w:bookmarkStart w:id="45" w:name="art12§7"/>
      <w:bookmarkEnd w:id="45"/>
      <w:r>
        <w:rPr>
          <w:rFonts w:ascii="Arial" w:hAnsi="Arial" w:cs="Arial"/>
          <w:color w:val="000000"/>
          <w:sz w:val="20"/>
          <w:szCs w:val="20"/>
        </w:rPr>
        <w:t>§ 7º Não será exigido Reserva Legal relativa às áreas adquiridas ou desapropriadas por detentor de concessão, permissão ou autorização para exploração de potencial de energia hidráulica, nas quais funcionem empreendimentos de geração de energia elétrica, subestações ou sejam instaladas linhas de transmissão e de distribuição de energia elétrica.    </w:t>
      </w:r>
      <w:hyperlink r:id="rId19" w:history="1">
        <w:r>
          <w:rPr>
            <w:rStyle w:val="Hyperlink"/>
            <w:rFonts w:ascii="Arial" w:hAnsi="Arial" w:cs="Arial"/>
            <w:sz w:val="20"/>
            <w:szCs w:val="20"/>
          </w:rPr>
          <w:t>(Vide ADC Nº 42)       </w:t>
        </w:r>
      </w:hyperlink>
      <w:hyperlink r:id="rId20" w:history="1">
        <w:r>
          <w:rPr>
            <w:rStyle w:val="Hyperlink"/>
            <w:rFonts w:ascii="Arial" w:hAnsi="Arial" w:cs="Arial"/>
            <w:sz w:val="20"/>
            <w:szCs w:val="20"/>
          </w:rPr>
          <w:t>(Vide ADIN Nº 4.901)</w:t>
        </w:r>
      </w:hyperlink>
    </w:p>
    <w:p w14:paraId="203CB2B5" w14:textId="77777777" w:rsidR="00AE0FD0" w:rsidRDefault="00AE0FD0" w:rsidP="00AE0FD0">
      <w:pPr>
        <w:pStyle w:val="texto1"/>
        <w:ind w:firstLine="570"/>
        <w:jc w:val="both"/>
        <w:rPr>
          <w:rFonts w:ascii="Arial" w:hAnsi="Arial" w:cs="Arial"/>
          <w:color w:val="000000"/>
          <w:sz w:val="20"/>
          <w:szCs w:val="20"/>
        </w:rPr>
      </w:pPr>
      <w:bookmarkStart w:id="46" w:name="art12§8"/>
      <w:bookmarkEnd w:id="46"/>
      <w:r>
        <w:rPr>
          <w:rFonts w:ascii="Arial" w:hAnsi="Arial" w:cs="Arial"/>
          <w:color w:val="000000"/>
          <w:sz w:val="20"/>
          <w:szCs w:val="20"/>
        </w:rPr>
        <w:t>§ 8º Não será exigido Reserva Legal relativa às áreas adquiridas ou desapropriadas com o objetivo de implantação e ampliação de capacidade de rodovias e ferrovias.    </w:t>
      </w:r>
      <w:hyperlink r:id="rId21" w:history="1">
        <w:r>
          <w:rPr>
            <w:rStyle w:val="Hyperlink"/>
            <w:rFonts w:ascii="Arial" w:hAnsi="Arial" w:cs="Arial"/>
            <w:sz w:val="20"/>
            <w:szCs w:val="20"/>
          </w:rPr>
          <w:t>(Vide ADC Nº 42)       </w:t>
        </w:r>
      </w:hyperlink>
      <w:hyperlink r:id="rId22" w:history="1">
        <w:r>
          <w:rPr>
            <w:rStyle w:val="Hyperlink"/>
            <w:rFonts w:ascii="Arial" w:hAnsi="Arial" w:cs="Arial"/>
            <w:sz w:val="20"/>
            <w:szCs w:val="20"/>
          </w:rPr>
          <w:t>(Vide ADIN Nº 4.901)</w:t>
        </w:r>
      </w:hyperlink>
    </w:p>
    <w:p w14:paraId="53A08FD0" w14:textId="77777777" w:rsidR="00AE0FD0" w:rsidRDefault="00AE0FD0" w:rsidP="00AE0FD0">
      <w:pPr>
        <w:pStyle w:val="texto1"/>
        <w:ind w:firstLine="570"/>
        <w:jc w:val="both"/>
        <w:rPr>
          <w:rFonts w:ascii="Arial" w:hAnsi="Arial" w:cs="Arial"/>
          <w:color w:val="000000"/>
          <w:sz w:val="20"/>
          <w:szCs w:val="20"/>
        </w:rPr>
      </w:pPr>
      <w:bookmarkStart w:id="47" w:name="c13"/>
      <w:bookmarkEnd w:id="47"/>
      <w:r>
        <w:rPr>
          <w:rFonts w:ascii="Arial" w:hAnsi="Arial" w:cs="Arial"/>
          <w:color w:val="000000"/>
          <w:sz w:val="20"/>
          <w:szCs w:val="20"/>
        </w:rPr>
        <w:t> </w:t>
      </w:r>
      <w:bookmarkStart w:id="48" w:name="art13"/>
      <w:bookmarkEnd w:id="48"/>
      <w:r>
        <w:rPr>
          <w:rFonts w:ascii="Arial" w:hAnsi="Arial" w:cs="Arial"/>
          <w:color w:val="000000"/>
          <w:sz w:val="20"/>
          <w:szCs w:val="20"/>
        </w:rPr>
        <w:t>Art. 13. Quando indicado pelo Zoneamento Ecológico-Econômico - ZEE estadual, realizado segundo metodologia unificada, o poder público federal poderá:</w:t>
      </w:r>
    </w:p>
    <w:p w14:paraId="51B9F208" w14:textId="77777777" w:rsidR="00AE0FD0" w:rsidRDefault="00AE0FD0" w:rsidP="00AE0FD0">
      <w:pPr>
        <w:pStyle w:val="texto1"/>
        <w:ind w:firstLine="570"/>
        <w:jc w:val="both"/>
        <w:rPr>
          <w:rFonts w:ascii="Arial" w:hAnsi="Arial" w:cs="Arial"/>
          <w:color w:val="000000"/>
          <w:sz w:val="20"/>
          <w:szCs w:val="20"/>
        </w:rPr>
      </w:pPr>
      <w:bookmarkStart w:id="49" w:name="art13i"/>
      <w:bookmarkEnd w:id="49"/>
      <w:r>
        <w:rPr>
          <w:rFonts w:ascii="Arial" w:hAnsi="Arial" w:cs="Arial"/>
          <w:color w:val="000000"/>
          <w:sz w:val="20"/>
          <w:szCs w:val="20"/>
        </w:rPr>
        <w:t>I - reduzir, exclusivamente para fins de regularização, mediante recomposição, regeneração ou compensação da Reserva Legal de imóveis com área rural consolidada, situados em área de floresta localizada na Amazônia Legal, para até 50% (cinquenta por cento) da propriedade, excluídas as áreas prioritárias para conservação da biodiversidade e dos recursos hídricos e os corredores ecológicos;</w:t>
      </w:r>
    </w:p>
    <w:p w14:paraId="65870415" w14:textId="77777777" w:rsidR="00AE0FD0" w:rsidRDefault="00AE0FD0" w:rsidP="00AE0FD0">
      <w:pPr>
        <w:pStyle w:val="texto1"/>
        <w:ind w:firstLine="570"/>
        <w:jc w:val="both"/>
        <w:rPr>
          <w:rFonts w:ascii="Arial" w:hAnsi="Arial" w:cs="Arial"/>
          <w:color w:val="000000"/>
          <w:sz w:val="20"/>
          <w:szCs w:val="20"/>
        </w:rPr>
      </w:pPr>
      <w:bookmarkStart w:id="50" w:name="art13ii"/>
      <w:bookmarkEnd w:id="50"/>
      <w:r>
        <w:rPr>
          <w:rFonts w:ascii="Arial" w:hAnsi="Arial" w:cs="Arial"/>
          <w:color w:val="000000"/>
          <w:sz w:val="20"/>
          <w:szCs w:val="20"/>
        </w:rPr>
        <w:t>II - ampliar as áreas de Reserva Legal em até 50% (cinquenta por cento) dos percentuais previstos nesta Lei, para cumprimento de metas nacionais de proteção à biodiversidade ou de redução de emissão de gases de efeito estufa.</w:t>
      </w:r>
    </w:p>
    <w:p w14:paraId="07B4780B" w14:textId="77777777" w:rsidR="00AE0FD0" w:rsidRDefault="00AE0FD0" w:rsidP="00AE0FD0">
      <w:pPr>
        <w:pStyle w:val="texto1"/>
        <w:ind w:firstLine="570"/>
        <w:jc w:val="both"/>
        <w:rPr>
          <w:rFonts w:ascii="Arial" w:hAnsi="Arial" w:cs="Arial"/>
          <w:color w:val="000000"/>
          <w:sz w:val="20"/>
          <w:szCs w:val="20"/>
        </w:rPr>
      </w:pPr>
      <w:bookmarkStart w:id="51" w:name="art13§1"/>
      <w:bookmarkEnd w:id="51"/>
      <w:r>
        <w:rPr>
          <w:rFonts w:ascii="Arial" w:hAnsi="Arial" w:cs="Arial"/>
          <w:color w:val="000000"/>
          <w:sz w:val="20"/>
          <w:szCs w:val="20"/>
        </w:rPr>
        <w:t>§ 1º No caso previsto no inciso I do caput , o proprietário ou possuidor de imóvel rural que mantiver Reserva Legal conservada e averbada em área superior aos percentuais exigidos no referido inciso poderá instituir servidão ambiental sobre a área excedente, nos termos da </w:t>
      </w:r>
      <w:hyperlink r:id="rId23" w:history="1">
        <w:r>
          <w:rPr>
            <w:rStyle w:val="Hyperlink"/>
            <w:rFonts w:ascii="Arial" w:hAnsi="Arial" w:cs="Arial"/>
            <w:sz w:val="20"/>
            <w:szCs w:val="20"/>
          </w:rPr>
          <w:t>Lei nº 6.938, de 31 de agosto de 1981, </w:t>
        </w:r>
      </w:hyperlink>
      <w:r>
        <w:rPr>
          <w:rFonts w:ascii="Arial" w:hAnsi="Arial" w:cs="Arial"/>
          <w:color w:val="000000"/>
          <w:sz w:val="20"/>
          <w:szCs w:val="20"/>
        </w:rPr>
        <w:t>e Cota de Reserva Ambiental.     </w:t>
      </w:r>
      <w:hyperlink r:id="rId24" w:history="1">
        <w:r>
          <w:rPr>
            <w:rStyle w:val="Hyperlink"/>
            <w:rFonts w:ascii="Arial" w:hAnsi="Arial" w:cs="Arial"/>
            <w:sz w:val="20"/>
            <w:szCs w:val="20"/>
          </w:rPr>
          <w:t>(Vide ADIN Nº 4.937) </w:t>
        </w:r>
      </w:hyperlink>
      <w:r>
        <w:rPr>
          <w:rFonts w:ascii="Arial" w:hAnsi="Arial" w:cs="Arial"/>
          <w:color w:val="000000"/>
          <w:sz w:val="20"/>
          <w:szCs w:val="20"/>
        </w:rPr>
        <w:t>               </w:t>
      </w:r>
      <w:hyperlink r:id="rId25" w:history="1">
        <w:r>
          <w:rPr>
            <w:rStyle w:val="Hyperlink"/>
            <w:rFonts w:ascii="Arial" w:hAnsi="Arial" w:cs="Arial"/>
            <w:sz w:val="20"/>
            <w:szCs w:val="20"/>
          </w:rPr>
          <w:t>(Vide ADC Nº 42) </w:t>
        </w:r>
      </w:hyperlink>
      <w:r>
        <w:rPr>
          <w:rFonts w:ascii="Arial" w:hAnsi="Arial" w:cs="Arial"/>
          <w:color w:val="000000"/>
          <w:sz w:val="20"/>
          <w:szCs w:val="20"/>
        </w:rPr>
        <w:t>                   </w:t>
      </w:r>
      <w:hyperlink r:id="rId26" w:history="1">
        <w:r>
          <w:rPr>
            <w:rStyle w:val="Hyperlink"/>
            <w:rFonts w:ascii="Arial" w:hAnsi="Arial" w:cs="Arial"/>
            <w:sz w:val="20"/>
            <w:szCs w:val="20"/>
          </w:rPr>
          <w:t>(Vide ADIN Nº 4.901)</w:t>
        </w:r>
      </w:hyperlink>
    </w:p>
    <w:p w14:paraId="316DEC61" w14:textId="77777777" w:rsidR="00AE0FD0" w:rsidRDefault="00AE0FD0" w:rsidP="00AE0FD0">
      <w:pPr>
        <w:pStyle w:val="texto1"/>
        <w:ind w:firstLine="570"/>
        <w:jc w:val="both"/>
        <w:rPr>
          <w:rFonts w:ascii="Arial" w:hAnsi="Arial" w:cs="Arial"/>
          <w:color w:val="000000"/>
          <w:sz w:val="20"/>
          <w:szCs w:val="20"/>
        </w:rPr>
      </w:pPr>
      <w:bookmarkStart w:id="52" w:name="art13§2"/>
      <w:bookmarkEnd w:id="52"/>
      <w:r>
        <w:rPr>
          <w:rFonts w:ascii="Arial" w:hAnsi="Arial" w:cs="Arial"/>
          <w:color w:val="000000"/>
          <w:sz w:val="20"/>
          <w:szCs w:val="20"/>
        </w:rPr>
        <w:t>§ 2º Os Estados que não possuem seus Zoneamentos Ecológico-Econômicos - ZEEs segundo a metodologia unificada, estabelecida em norma federal, terão o prazo de 5 (cinco) anos, a partir da data da publicação desta Lei, para a sua elaboração e aprovação.</w:t>
      </w:r>
    </w:p>
    <w:p w14:paraId="6112096C" w14:textId="77777777" w:rsidR="00AE0FD0" w:rsidRPr="00F36514" w:rsidRDefault="00AE0FD0" w:rsidP="00AE0FD0">
      <w:pPr>
        <w:pStyle w:val="texto1"/>
        <w:ind w:firstLine="570"/>
        <w:jc w:val="both"/>
        <w:rPr>
          <w:rFonts w:ascii="Arial Black" w:hAnsi="Arial Black" w:cs="Arial"/>
        </w:rPr>
      </w:pPr>
      <w:bookmarkStart w:id="53" w:name="c14"/>
      <w:bookmarkEnd w:id="53"/>
      <w:r w:rsidRPr="00F36514">
        <w:rPr>
          <w:rFonts w:ascii="Arial Black" w:hAnsi="Arial Black" w:cs="Arial"/>
        </w:rPr>
        <w:lastRenderedPageBreak/>
        <w:t> </w:t>
      </w:r>
      <w:bookmarkStart w:id="54" w:name="art14"/>
      <w:bookmarkEnd w:id="54"/>
      <w:r w:rsidRPr="00F36514">
        <w:rPr>
          <w:rFonts w:ascii="Arial Black" w:hAnsi="Arial Black" w:cs="Arial"/>
        </w:rPr>
        <w:t>Art. 14. A localização da área de Reserva Legal no imóvel rural deverá levar em consideração os seguintes estudos e critérios:</w:t>
      </w:r>
    </w:p>
    <w:p w14:paraId="0C005951" w14:textId="77777777" w:rsidR="00AE0FD0" w:rsidRDefault="00AE0FD0" w:rsidP="00AE0FD0">
      <w:pPr>
        <w:pStyle w:val="texto1"/>
        <w:ind w:firstLine="570"/>
        <w:jc w:val="both"/>
        <w:rPr>
          <w:rFonts w:ascii="Arial" w:hAnsi="Arial" w:cs="Arial"/>
          <w:color w:val="000000"/>
          <w:sz w:val="20"/>
          <w:szCs w:val="20"/>
        </w:rPr>
      </w:pPr>
      <w:bookmarkStart w:id="55" w:name="art14i"/>
      <w:bookmarkEnd w:id="55"/>
      <w:r>
        <w:rPr>
          <w:rFonts w:ascii="Arial" w:hAnsi="Arial" w:cs="Arial"/>
          <w:color w:val="000000"/>
          <w:sz w:val="20"/>
          <w:szCs w:val="20"/>
        </w:rPr>
        <w:t>I - o plano de bacia hidrográfica;</w:t>
      </w:r>
    </w:p>
    <w:p w14:paraId="046F2D2E" w14:textId="77777777" w:rsidR="00AE0FD0" w:rsidRPr="00F36514" w:rsidRDefault="00AE0FD0" w:rsidP="00AE0FD0">
      <w:pPr>
        <w:pStyle w:val="texto1"/>
        <w:ind w:firstLine="570"/>
        <w:jc w:val="both"/>
        <w:rPr>
          <w:rFonts w:ascii="Arial" w:hAnsi="Arial" w:cs="Arial"/>
          <w:sz w:val="20"/>
          <w:szCs w:val="20"/>
        </w:rPr>
      </w:pPr>
      <w:bookmarkStart w:id="56" w:name="art14ii"/>
      <w:bookmarkEnd w:id="56"/>
      <w:r w:rsidRPr="00F36514">
        <w:rPr>
          <w:rFonts w:ascii="Arial" w:hAnsi="Arial" w:cs="Arial"/>
          <w:sz w:val="20"/>
          <w:szCs w:val="20"/>
        </w:rPr>
        <w:t>II - o Zoneamento Ecológico-Econômico</w:t>
      </w:r>
    </w:p>
    <w:p w14:paraId="201AC57E" w14:textId="3AC956BA" w:rsidR="00A024E3" w:rsidRPr="00F36514" w:rsidRDefault="00AE0FD0" w:rsidP="00A024E3">
      <w:pPr>
        <w:pStyle w:val="texto1"/>
        <w:ind w:firstLine="570"/>
        <w:jc w:val="both"/>
        <w:rPr>
          <w:rFonts w:ascii="Arial Black" w:hAnsi="Arial Black" w:cs="Arial"/>
        </w:rPr>
      </w:pPr>
      <w:bookmarkStart w:id="57" w:name="art14iii"/>
      <w:bookmarkEnd w:id="57"/>
      <w:r w:rsidRPr="00F36514">
        <w:rPr>
          <w:rFonts w:ascii="Arial Black" w:hAnsi="Arial Black" w:cs="Arial"/>
        </w:rPr>
        <w:t>III - a formação de corredores ecológicos com outra Reserva Legal, com Área de Preservação Permanente, com Unidade de Conservação ou com outra área legalmente protegid</w:t>
      </w:r>
      <w:r w:rsidR="00F36514" w:rsidRPr="00F36514">
        <w:rPr>
          <w:rFonts w:ascii="Arial Black" w:hAnsi="Arial Black" w:cs="Arial"/>
        </w:rPr>
        <w:t>as.</w:t>
      </w:r>
    </w:p>
    <w:p w14:paraId="7B8D9862" w14:textId="77777777" w:rsidR="00AE0FD0" w:rsidRDefault="00AE0FD0" w:rsidP="00AE0FD0">
      <w:pPr>
        <w:pStyle w:val="texto1"/>
        <w:ind w:firstLine="570"/>
        <w:jc w:val="both"/>
        <w:rPr>
          <w:rFonts w:ascii="Arial" w:hAnsi="Arial" w:cs="Arial"/>
          <w:color w:val="000000"/>
          <w:sz w:val="20"/>
          <w:szCs w:val="20"/>
        </w:rPr>
      </w:pPr>
      <w:bookmarkStart w:id="58" w:name="art14iv"/>
      <w:bookmarkEnd w:id="58"/>
      <w:r>
        <w:rPr>
          <w:rFonts w:ascii="Arial" w:hAnsi="Arial" w:cs="Arial"/>
          <w:color w:val="000000"/>
          <w:sz w:val="20"/>
          <w:szCs w:val="20"/>
        </w:rPr>
        <w:t>IV - as áreas de maior importância para a conservação da biodiversidade; e</w:t>
      </w:r>
    </w:p>
    <w:p w14:paraId="021BE290" w14:textId="77777777" w:rsidR="00AE0FD0" w:rsidRDefault="00AE0FD0" w:rsidP="00AE0FD0">
      <w:pPr>
        <w:pStyle w:val="texto1"/>
        <w:ind w:firstLine="570"/>
        <w:jc w:val="both"/>
        <w:rPr>
          <w:rFonts w:ascii="Arial" w:hAnsi="Arial" w:cs="Arial"/>
          <w:color w:val="000000"/>
          <w:sz w:val="20"/>
          <w:szCs w:val="20"/>
        </w:rPr>
      </w:pPr>
      <w:bookmarkStart w:id="59" w:name="art14v"/>
      <w:bookmarkEnd w:id="59"/>
      <w:r>
        <w:rPr>
          <w:rFonts w:ascii="Arial" w:hAnsi="Arial" w:cs="Arial"/>
          <w:color w:val="000000"/>
          <w:sz w:val="20"/>
          <w:szCs w:val="20"/>
        </w:rPr>
        <w:t>V - as áreas de maior fragilidade ambiental.</w:t>
      </w:r>
    </w:p>
    <w:p w14:paraId="02CF64A4" w14:textId="77777777" w:rsidR="00AE0FD0" w:rsidRDefault="00AE0FD0" w:rsidP="00AE0FD0">
      <w:pPr>
        <w:pStyle w:val="texto1"/>
        <w:ind w:firstLine="570"/>
        <w:jc w:val="both"/>
        <w:rPr>
          <w:rFonts w:ascii="Arial" w:hAnsi="Arial" w:cs="Arial"/>
          <w:color w:val="000000"/>
          <w:sz w:val="20"/>
          <w:szCs w:val="20"/>
        </w:rPr>
      </w:pPr>
      <w:bookmarkStart w:id="60" w:name="art14§1"/>
      <w:bookmarkEnd w:id="60"/>
      <w:r>
        <w:rPr>
          <w:rFonts w:ascii="Arial" w:hAnsi="Arial" w:cs="Arial"/>
          <w:color w:val="000000"/>
          <w:sz w:val="20"/>
          <w:szCs w:val="20"/>
        </w:rPr>
        <w:t>§ 1º O órgão estadual integrante do Sisnama ou instituição por ele habilitada deverá aprovar a localização da Reserva Legal após a inclusão do imóvel no CAR, conforme o art. 29 desta Lei.</w:t>
      </w:r>
    </w:p>
    <w:p w14:paraId="69548F24" w14:textId="77777777" w:rsidR="00AE0FD0" w:rsidRDefault="00AE0FD0" w:rsidP="00AE0FD0">
      <w:pPr>
        <w:pStyle w:val="texto1"/>
        <w:spacing w:before="0" w:beforeAutospacing="0" w:after="0" w:afterAutospacing="0"/>
        <w:ind w:firstLine="570"/>
        <w:jc w:val="both"/>
        <w:rPr>
          <w:rFonts w:ascii="Arial" w:hAnsi="Arial" w:cs="Arial"/>
          <w:color w:val="000000"/>
          <w:sz w:val="20"/>
          <w:szCs w:val="20"/>
        </w:rPr>
      </w:pPr>
      <w:bookmarkStart w:id="61" w:name="art14§2.0"/>
      <w:bookmarkEnd w:id="61"/>
      <w:r>
        <w:rPr>
          <w:rFonts w:ascii="Arial" w:hAnsi="Arial" w:cs="Arial"/>
          <w:strike/>
          <w:color w:val="000000"/>
          <w:sz w:val="20"/>
          <w:szCs w:val="20"/>
        </w:rPr>
        <w:t>§ 2º Protocolada a documentação exigida para análise da localização da área de Reserva Legal, ao proprietário ou possuidor rural não poderá ser imputada sanção administrativa, inclusive restrição a direitos, em razão da não formalização da área de Reserva Legal.</w:t>
      </w:r>
    </w:p>
    <w:p w14:paraId="6C044551" w14:textId="77777777" w:rsidR="00AE0FD0" w:rsidRDefault="00AE0FD0" w:rsidP="00AE0FD0">
      <w:pPr>
        <w:pStyle w:val="texto1"/>
        <w:spacing w:before="0" w:beforeAutospacing="0" w:after="0" w:afterAutospacing="0"/>
        <w:ind w:firstLine="570"/>
        <w:jc w:val="both"/>
        <w:rPr>
          <w:rFonts w:ascii="Arial" w:hAnsi="Arial" w:cs="Arial"/>
          <w:color w:val="000000"/>
          <w:sz w:val="20"/>
          <w:szCs w:val="20"/>
        </w:rPr>
      </w:pPr>
      <w:bookmarkStart w:id="62" w:name="art14§2"/>
      <w:bookmarkEnd w:id="62"/>
      <w:r>
        <w:rPr>
          <w:rFonts w:ascii="Arial" w:hAnsi="Arial" w:cs="Arial"/>
          <w:strike/>
          <w:color w:val="000000"/>
          <w:sz w:val="20"/>
          <w:szCs w:val="20"/>
        </w:rPr>
        <w:t>§ 2º Protocolada a documentação exigida para análise da localização da área de Reserva Legal, ao proprietário ou possuidor rural não poderá ser imputada sanção administrativa, inclusive restrição a direitos, por qualquer órgão ambiental competente integrante do SISNAMA, em razão da não formalização da área de Reserva Legal. </w:t>
      </w:r>
      <w:hyperlink r:id="rId27" w:anchor="art1" w:history="1">
        <w:r>
          <w:rPr>
            <w:rStyle w:val="Hyperlink"/>
            <w:rFonts w:ascii="Arial" w:hAnsi="Arial" w:cs="Arial"/>
            <w:strike/>
            <w:sz w:val="20"/>
            <w:szCs w:val="20"/>
          </w:rPr>
          <w:t>(Redação dada pela Medida Provisória nº 571, de 2012).</w:t>
        </w:r>
      </w:hyperlink>
    </w:p>
    <w:p w14:paraId="7AE4268A" w14:textId="4C491C8C" w:rsidR="00AE0FD0" w:rsidRDefault="00AE0FD0" w:rsidP="00AE0FD0">
      <w:pPr>
        <w:pStyle w:val="texto1"/>
        <w:ind w:firstLine="570"/>
        <w:jc w:val="both"/>
        <w:rPr>
          <w:rFonts w:ascii="Arial" w:hAnsi="Arial" w:cs="Arial"/>
          <w:color w:val="000000"/>
          <w:sz w:val="20"/>
          <w:szCs w:val="20"/>
        </w:rPr>
      </w:pPr>
      <w:bookmarkStart w:id="63" w:name="art14§2."/>
      <w:bookmarkEnd w:id="63"/>
      <w:r>
        <w:rPr>
          <w:rFonts w:ascii="Arial" w:hAnsi="Arial" w:cs="Arial"/>
          <w:color w:val="000000"/>
          <w:sz w:val="20"/>
          <w:szCs w:val="20"/>
        </w:rPr>
        <w:t>§ 2º Protocolada a documentação exigida para a análise da localização da área de Reserva Legal, ao proprietário ou possuidor rural não poderá ser imputada sanção administrativa, inclusive restrição a direitos, por qualquer órgão ambiental competente integrante do Sisnama, em razão da não formalização da área de Reserva Legal. </w:t>
      </w:r>
      <w:hyperlink r:id="rId28" w:history="1">
        <w:r>
          <w:rPr>
            <w:rStyle w:val="Hyperlink"/>
            <w:rFonts w:ascii="Arial" w:hAnsi="Arial" w:cs="Arial"/>
            <w:sz w:val="20"/>
            <w:szCs w:val="20"/>
          </w:rPr>
          <w:t>(Redação dada pela Lei nº 12.727, de 2012).</w:t>
        </w:r>
      </w:hyperlink>
    </w:p>
    <w:p w14:paraId="5B83CCE2" w14:textId="77777777" w:rsidR="00A024E3" w:rsidRDefault="00A024E3" w:rsidP="00A024E3">
      <w:pPr>
        <w:pStyle w:val="cabea"/>
        <w:ind w:firstLine="432"/>
        <w:jc w:val="center"/>
        <w:rPr>
          <w:rFonts w:ascii="Arial" w:hAnsi="Arial" w:cs="Arial"/>
          <w:color w:val="000000"/>
          <w:sz w:val="20"/>
          <w:szCs w:val="20"/>
        </w:rPr>
      </w:pPr>
      <w:r>
        <w:rPr>
          <w:rFonts w:ascii="Arial" w:hAnsi="Arial" w:cs="Arial"/>
          <w:b/>
          <w:bCs/>
          <w:color w:val="000000"/>
          <w:sz w:val="20"/>
          <w:szCs w:val="20"/>
        </w:rPr>
        <w:t>Do Regime de Proteção da Reserva Legal</w:t>
      </w:r>
    </w:p>
    <w:p w14:paraId="6A57DEF4" w14:textId="77777777" w:rsidR="00A024E3" w:rsidRPr="001E434C" w:rsidRDefault="00A024E3" w:rsidP="00A024E3">
      <w:pPr>
        <w:pStyle w:val="texto1"/>
        <w:ind w:firstLine="570"/>
        <w:jc w:val="both"/>
        <w:rPr>
          <w:rFonts w:ascii="Arial Black" w:hAnsi="Arial Black" w:cs="Arial"/>
          <w:color w:val="000000"/>
        </w:rPr>
      </w:pPr>
      <w:bookmarkStart w:id="64" w:name="c17"/>
      <w:bookmarkEnd w:id="64"/>
      <w:r w:rsidRPr="001E434C">
        <w:rPr>
          <w:rFonts w:ascii="Arial Black" w:hAnsi="Arial Black" w:cs="Arial"/>
          <w:color w:val="000000"/>
        </w:rPr>
        <w:t> </w:t>
      </w:r>
      <w:bookmarkStart w:id="65" w:name="art17"/>
      <w:bookmarkEnd w:id="65"/>
      <w:r w:rsidRPr="001E434C">
        <w:rPr>
          <w:rFonts w:ascii="Arial Black" w:hAnsi="Arial Black" w:cs="Arial"/>
          <w:color w:val="000000"/>
        </w:rPr>
        <w:t>Art. 17. A Reserva Legal deve ser conservada com cobertura de vegetação nativa pelo proprietário do imóvel rural, possuidor ou ocupante a qualquer título, pessoa física ou jurídica, de direito público ou privado.</w:t>
      </w:r>
    </w:p>
    <w:p w14:paraId="48112336" w14:textId="5672CAB6" w:rsidR="00A024E3" w:rsidRDefault="00A024E3" w:rsidP="00A024E3">
      <w:pPr>
        <w:pStyle w:val="texto1"/>
        <w:ind w:firstLine="570"/>
        <w:jc w:val="both"/>
        <w:rPr>
          <w:rFonts w:ascii="Arial" w:hAnsi="Arial" w:cs="Arial"/>
          <w:color w:val="000000"/>
          <w:sz w:val="20"/>
          <w:szCs w:val="20"/>
        </w:rPr>
      </w:pPr>
      <w:bookmarkStart w:id="66" w:name="art17§1"/>
      <w:bookmarkEnd w:id="66"/>
      <w:r w:rsidRPr="001E434C">
        <w:rPr>
          <w:rFonts w:ascii="Arial Black" w:hAnsi="Arial Black" w:cs="Arial"/>
          <w:color w:val="000000"/>
        </w:rPr>
        <w:t>§ 1º Admite-se a exploração econômica da Reserva Legal mediante manejo sustentável, previamente aprovado pelo órgão competente do S</w:t>
      </w:r>
      <w:r w:rsidR="001E434C">
        <w:rPr>
          <w:rFonts w:ascii="Arial Black" w:hAnsi="Arial Black" w:cs="Arial"/>
          <w:color w:val="000000"/>
        </w:rPr>
        <w:t>ISNAMA</w:t>
      </w:r>
      <w:r w:rsidRPr="001E434C">
        <w:rPr>
          <w:rFonts w:ascii="Arial Black" w:hAnsi="Arial Black" w:cs="Arial"/>
          <w:color w:val="000000"/>
        </w:rPr>
        <w:t>, de acordo com as modalidades previstas no art. 20</w:t>
      </w:r>
      <w:r>
        <w:rPr>
          <w:rFonts w:ascii="Arial" w:hAnsi="Arial" w:cs="Arial"/>
          <w:color w:val="000000"/>
          <w:sz w:val="20"/>
          <w:szCs w:val="20"/>
        </w:rPr>
        <w:t>.</w:t>
      </w:r>
    </w:p>
    <w:p w14:paraId="5480B006" w14:textId="77777777" w:rsidR="00A024E3" w:rsidRDefault="00A024E3" w:rsidP="00A024E3">
      <w:pPr>
        <w:pStyle w:val="texto1"/>
        <w:ind w:firstLine="570"/>
        <w:jc w:val="both"/>
        <w:rPr>
          <w:rFonts w:ascii="Arial" w:hAnsi="Arial" w:cs="Arial"/>
          <w:color w:val="000000"/>
          <w:sz w:val="20"/>
          <w:szCs w:val="20"/>
        </w:rPr>
      </w:pPr>
      <w:bookmarkStart w:id="67" w:name="art17§2"/>
      <w:bookmarkEnd w:id="67"/>
      <w:r>
        <w:rPr>
          <w:rFonts w:ascii="Arial" w:hAnsi="Arial" w:cs="Arial"/>
          <w:color w:val="000000"/>
          <w:sz w:val="20"/>
          <w:szCs w:val="20"/>
        </w:rPr>
        <w:t>§ 2º Para fins de manejo de Reserva Legal na pequena propriedade ou posse rural familiar, os órgãos integrantes do Sisnama deverão estabelecer procedimentos simplificados de elaboração, análise e aprovação de tais planos de manejo.</w:t>
      </w:r>
    </w:p>
    <w:p w14:paraId="67EDB51D" w14:textId="77777777" w:rsidR="00A024E3" w:rsidRDefault="00A024E3" w:rsidP="00A024E3">
      <w:pPr>
        <w:pStyle w:val="texto1"/>
        <w:spacing w:before="0" w:beforeAutospacing="0" w:after="0" w:afterAutospacing="0"/>
        <w:ind w:firstLine="570"/>
        <w:jc w:val="both"/>
        <w:rPr>
          <w:rFonts w:ascii="Arial" w:hAnsi="Arial" w:cs="Arial"/>
          <w:color w:val="000000"/>
          <w:sz w:val="20"/>
          <w:szCs w:val="20"/>
        </w:rPr>
      </w:pPr>
      <w:bookmarkStart w:id="68" w:name="art17§3.0"/>
      <w:bookmarkEnd w:id="68"/>
      <w:r>
        <w:rPr>
          <w:rFonts w:ascii="Arial" w:hAnsi="Arial" w:cs="Arial"/>
          <w:strike/>
          <w:color w:val="000000"/>
          <w:sz w:val="20"/>
          <w:szCs w:val="20"/>
        </w:rPr>
        <w:lastRenderedPageBreak/>
        <w:t>§ 3º É obrigatória a suspensão imediata das atividades em Área de Reserva Legal desmatada irregularmente após 22 de julho de 2008, e deverá ser iniciado o processo de recomposição, no todo ou em parte, sem prejuízo das sanções administrativas, cíveis e penais cabíveis, não extrapolando a 2 (dois) anos essa comprovação, contados a partir da data da publicação desta Lei ou, se a conduta for a ela posterior, da data da supressão da vegetação, vedado o uso da área para qualquer finalidade distinta da prevista neste artigo.</w:t>
      </w:r>
    </w:p>
    <w:p w14:paraId="2549F8B2" w14:textId="77777777" w:rsidR="00A024E3" w:rsidRDefault="00A024E3" w:rsidP="00A024E3">
      <w:pPr>
        <w:pStyle w:val="texto1"/>
        <w:spacing w:before="0" w:beforeAutospacing="0" w:after="0" w:afterAutospacing="0"/>
        <w:ind w:firstLine="570"/>
        <w:jc w:val="both"/>
        <w:rPr>
          <w:rFonts w:ascii="Arial" w:hAnsi="Arial" w:cs="Arial"/>
          <w:color w:val="000000"/>
          <w:sz w:val="20"/>
          <w:szCs w:val="20"/>
        </w:rPr>
      </w:pPr>
      <w:bookmarkStart w:id="69" w:name="art17§3"/>
      <w:bookmarkEnd w:id="69"/>
      <w:r>
        <w:rPr>
          <w:rFonts w:ascii="Arial" w:hAnsi="Arial" w:cs="Arial"/>
          <w:strike/>
          <w:color w:val="000000"/>
          <w:sz w:val="20"/>
          <w:szCs w:val="20"/>
        </w:rPr>
        <w:t>§ 3º É obrigatória a suspensão imediata das atividades em Área de Reserva Legal desmatada irregularmente após 22 de julho de 2008. </w:t>
      </w:r>
      <w:hyperlink r:id="rId29" w:anchor="art1" w:history="1">
        <w:r>
          <w:rPr>
            <w:rStyle w:val="Hyperlink"/>
            <w:rFonts w:ascii="Arial" w:hAnsi="Arial" w:cs="Arial"/>
            <w:strike/>
            <w:sz w:val="20"/>
            <w:szCs w:val="20"/>
          </w:rPr>
          <w:t>(Redação dada pela Medida Provisória nº 571, de 2012).</w:t>
        </w:r>
      </w:hyperlink>
    </w:p>
    <w:p w14:paraId="21D6925E" w14:textId="77777777" w:rsidR="00A024E3" w:rsidRPr="001E434C" w:rsidRDefault="00A024E3" w:rsidP="00A024E3">
      <w:pPr>
        <w:pStyle w:val="texto1"/>
        <w:ind w:firstLine="570"/>
        <w:jc w:val="both"/>
        <w:rPr>
          <w:rFonts w:ascii="Arial Black" w:hAnsi="Arial Black" w:cs="Arial"/>
          <w:color w:val="000000"/>
        </w:rPr>
      </w:pPr>
      <w:bookmarkStart w:id="70" w:name="art17§3."/>
      <w:bookmarkEnd w:id="70"/>
      <w:r w:rsidRPr="001E434C">
        <w:rPr>
          <w:rFonts w:ascii="Arial Black" w:hAnsi="Arial Black" w:cs="Arial"/>
          <w:color w:val="000000"/>
        </w:rPr>
        <w:t>§ 3º É obrigatória a suspensão imediata das atividades em área de Reserva Legal desmatada irregularmente após 22 de julho de 2008. </w:t>
      </w:r>
      <w:hyperlink r:id="rId30" w:history="1">
        <w:r w:rsidRPr="001E434C">
          <w:rPr>
            <w:rStyle w:val="Hyperlink"/>
            <w:rFonts w:ascii="Arial Black" w:hAnsi="Arial Black" w:cs="Arial"/>
          </w:rPr>
          <w:t>(Redação dada pela Lei nº 12.727, de 2012). </w:t>
        </w:r>
      </w:hyperlink>
      <w:r w:rsidRPr="001E434C">
        <w:rPr>
          <w:rFonts w:ascii="Arial Black" w:hAnsi="Arial Black" w:cs="Arial"/>
          <w:color w:val="000000"/>
        </w:rPr>
        <w:t>   </w:t>
      </w:r>
      <w:hyperlink r:id="rId31" w:history="1">
        <w:r w:rsidRPr="001E434C">
          <w:rPr>
            <w:rStyle w:val="Hyperlink"/>
            <w:rFonts w:ascii="Arial Black" w:hAnsi="Arial Black" w:cs="Arial"/>
          </w:rPr>
          <w:t>(Vide ADC Nº 42) </w:t>
        </w:r>
      </w:hyperlink>
      <w:r w:rsidRPr="001E434C">
        <w:rPr>
          <w:rFonts w:ascii="Arial Black" w:hAnsi="Arial Black" w:cs="Arial"/>
          <w:color w:val="000000"/>
        </w:rPr>
        <w:t>           </w:t>
      </w:r>
      <w:hyperlink r:id="rId32" w:history="1">
        <w:r w:rsidRPr="001E434C">
          <w:rPr>
            <w:rStyle w:val="Hyperlink"/>
            <w:rFonts w:ascii="Arial Black" w:hAnsi="Arial Black" w:cs="Arial"/>
          </w:rPr>
          <w:t>(Vide ADIN Nº 4.902) </w:t>
        </w:r>
      </w:hyperlink>
      <w:r w:rsidRPr="001E434C">
        <w:rPr>
          <w:rFonts w:ascii="Arial Black" w:hAnsi="Arial Black" w:cs="Arial"/>
          <w:color w:val="000000"/>
        </w:rPr>
        <w:t>             </w:t>
      </w:r>
      <w:hyperlink r:id="rId33" w:history="1">
        <w:r w:rsidRPr="001E434C">
          <w:rPr>
            <w:rStyle w:val="Hyperlink"/>
            <w:rFonts w:ascii="Arial Black" w:hAnsi="Arial Black" w:cs="Arial"/>
          </w:rPr>
          <w:t>(Vide ADIN Nº 4.903)</w:t>
        </w:r>
      </w:hyperlink>
    </w:p>
    <w:p w14:paraId="3FB9E17C" w14:textId="77777777" w:rsidR="00A024E3" w:rsidRDefault="00A024E3" w:rsidP="00A024E3">
      <w:pPr>
        <w:pStyle w:val="texto1"/>
        <w:ind w:firstLine="570"/>
        <w:jc w:val="both"/>
        <w:rPr>
          <w:rFonts w:ascii="Arial" w:hAnsi="Arial" w:cs="Arial"/>
          <w:color w:val="000000"/>
          <w:sz w:val="20"/>
          <w:szCs w:val="20"/>
        </w:rPr>
      </w:pPr>
      <w:bookmarkStart w:id="71" w:name="art17§4"/>
      <w:bookmarkEnd w:id="71"/>
      <w:r>
        <w:rPr>
          <w:rFonts w:ascii="Arial" w:hAnsi="Arial" w:cs="Arial"/>
          <w:strike/>
          <w:color w:val="000000"/>
          <w:sz w:val="20"/>
          <w:szCs w:val="20"/>
        </w:rPr>
        <w:t>§ 4º Sem prejuízo das sanções administrativas, cíveis e penais cabíveis, deverá ser iniciado o processo de recomposição da Reserva Legal em até dois anos contados a partir da data da publicação desta Lei, devendo tal processo ser concluído nos prazos estabelecidos pelo Programa de Regularização Ambiental – PRA, de que trata o art. 59. </w:t>
      </w:r>
      <w:hyperlink r:id="rId34" w:anchor="art1" w:history="1">
        <w:r>
          <w:rPr>
            <w:rStyle w:val="Hyperlink"/>
            <w:rFonts w:ascii="Arial" w:hAnsi="Arial" w:cs="Arial"/>
            <w:strike/>
            <w:sz w:val="20"/>
            <w:szCs w:val="20"/>
          </w:rPr>
          <w:t>(Incluído pela Medida Provisória nº 571, de 2012).</w:t>
        </w:r>
      </w:hyperlink>
    </w:p>
    <w:p w14:paraId="590C3ADF" w14:textId="77777777" w:rsidR="00A024E3" w:rsidRPr="001E434C" w:rsidRDefault="00A024E3" w:rsidP="00A024E3">
      <w:pPr>
        <w:pStyle w:val="texto1"/>
        <w:ind w:firstLine="570"/>
        <w:jc w:val="both"/>
        <w:rPr>
          <w:rFonts w:ascii="Arial Black" w:hAnsi="Arial Black" w:cs="Arial"/>
          <w:color w:val="000000"/>
        </w:rPr>
      </w:pPr>
      <w:bookmarkStart w:id="72" w:name="art17§4.0"/>
      <w:bookmarkEnd w:id="72"/>
      <w:r w:rsidRPr="001E434C">
        <w:rPr>
          <w:rFonts w:ascii="Arial Black" w:hAnsi="Arial Black" w:cs="Arial"/>
          <w:color w:val="000000"/>
        </w:rPr>
        <w:t>§ 4º Sem prejuízo das sanções administrativas, cíveis e penais cabíveis, deverá ser iniciado, nas áreas de que trata o § 3º deste artigo, o processo de recomposição da Reserva Legal em até 2 (dois) anos contados a partir da data da publicação desta Lei, devendo tal processo ser concluído nos prazos estabelecidos pelo Programa de Regularização Ambiental - PRA, de que trata o art. 59. </w:t>
      </w:r>
      <w:hyperlink r:id="rId35" w:history="1">
        <w:r w:rsidRPr="001E434C">
          <w:rPr>
            <w:rStyle w:val="Hyperlink"/>
            <w:rFonts w:ascii="Arial Black" w:hAnsi="Arial Black" w:cs="Arial"/>
          </w:rPr>
          <w:t>(Incluído pela Lei nº 12.727, de 2012).</w:t>
        </w:r>
      </w:hyperlink>
    </w:p>
    <w:p w14:paraId="453B5B46" w14:textId="77777777" w:rsidR="00A024E3" w:rsidRDefault="00A024E3" w:rsidP="00A024E3">
      <w:pPr>
        <w:pStyle w:val="texto1"/>
        <w:ind w:firstLine="570"/>
        <w:jc w:val="both"/>
        <w:rPr>
          <w:rFonts w:ascii="Arial" w:hAnsi="Arial" w:cs="Arial"/>
          <w:color w:val="000000"/>
          <w:sz w:val="20"/>
          <w:szCs w:val="20"/>
        </w:rPr>
      </w:pPr>
      <w:bookmarkStart w:id="73" w:name="c18"/>
      <w:bookmarkEnd w:id="73"/>
      <w:r>
        <w:rPr>
          <w:rFonts w:ascii="Arial" w:hAnsi="Arial" w:cs="Arial"/>
          <w:color w:val="000000"/>
          <w:sz w:val="20"/>
          <w:szCs w:val="20"/>
        </w:rPr>
        <w:t> </w:t>
      </w:r>
      <w:bookmarkStart w:id="74" w:name="art18"/>
      <w:bookmarkEnd w:id="74"/>
      <w:r>
        <w:rPr>
          <w:rFonts w:ascii="Arial" w:hAnsi="Arial" w:cs="Arial"/>
          <w:color w:val="000000"/>
          <w:sz w:val="20"/>
          <w:szCs w:val="20"/>
        </w:rPr>
        <w:t>Art. 18. A área de Reserva Legal deverá ser registrada no órgão ambiental competente por meio de inscrição no CAR de que trata o art. 29, sendo vedada a alteração de sua destinação, nos casos de transmissão, a qualquer título, ou de desmembramento, com as exceções previstas nesta Lei.</w:t>
      </w:r>
    </w:p>
    <w:p w14:paraId="1129533D" w14:textId="77777777" w:rsidR="00A024E3" w:rsidRDefault="00A024E3" w:rsidP="00A024E3">
      <w:pPr>
        <w:pStyle w:val="texto1"/>
        <w:ind w:firstLine="570"/>
        <w:jc w:val="both"/>
        <w:rPr>
          <w:rFonts w:ascii="Arial" w:hAnsi="Arial" w:cs="Arial"/>
          <w:color w:val="000000"/>
          <w:sz w:val="20"/>
          <w:szCs w:val="20"/>
        </w:rPr>
      </w:pPr>
      <w:bookmarkStart w:id="75" w:name="art18§1"/>
      <w:bookmarkEnd w:id="75"/>
      <w:r>
        <w:rPr>
          <w:rFonts w:ascii="Arial" w:hAnsi="Arial" w:cs="Arial"/>
          <w:color w:val="000000"/>
          <w:sz w:val="20"/>
          <w:szCs w:val="20"/>
        </w:rPr>
        <w:t>§ 1º A inscrição da Reserva Legal no CAR será feita mediante a apresentação de planta e memorial descritivo, contendo a indicação das coordenadas geográficas com pelo menos um ponto de amarração, conforme ato do Chefe do Poder Executivo.</w:t>
      </w:r>
    </w:p>
    <w:p w14:paraId="796B1795" w14:textId="15E2F69E" w:rsidR="00A024E3" w:rsidRDefault="00A024E3" w:rsidP="00A024E3">
      <w:pPr>
        <w:pStyle w:val="texto1"/>
        <w:ind w:firstLine="570"/>
        <w:jc w:val="both"/>
        <w:rPr>
          <w:rFonts w:ascii="Arial" w:hAnsi="Arial" w:cs="Arial"/>
          <w:color w:val="000000"/>
          <w:sz w:val="20"/>
          <w:szCs w:val="20"/>
        </w:rPr>
      </w:pPr>
      <w:bookmarkStart w:id="76" w:name="art18§2"/>
      <w:bookmarkEnd w:id="76"/>
      <w:r>
        <w:rPr>
          <w:rFonts w:ascii="Arial" w:hAnsi="Arial" w:cs="Arial"/>
          <w:color w:val="000000"/>
          <w:sz w:val="20"/>
          <w:szCs w:val="20"/>
        </w:rPr>
        <w:t>§ 2º Na posse, a área de Reserva Legal é assegurada por termo de compromisso firmado pelo possuidor com o órgão competente do S</w:t>
      </w:r>
      <w:r w:rsidR="001E434C">
        <w:rPr>
          <w:rFonts w:ascii="Arial" w:hAnsi="Arial" w:cs="Arial"/>
          <w:color w:val="000000"/>
          <w:sz w:val="20"/>
          <w:szCs w:val="20"/>
        </w:rPr>
        <w:t>ISNAMA</w:t>
      </w:r>
      <w:r>
        <w:rPr>
          <w:rFonts w:ascii="Arial" w:hAnsi="Arial" w:cs="Arial"/>
          <w:color w:val="000000"/>
          <w:sz w:val="20"/>
          <w:szCs w:val="20"/>
        </w:rPr>
        <w:t>, com força de título executivo extrajudicial, que explicite, no mínimo, a localização da área de Reserva Legal e as obrigações assumidas pelo possuidor por força do previsto nesta Lei.</w:t>
      </w:r>
    </w:p>
    <w:p w14:paraId="1C74B9D3" w14:textId="77777777" w:rsidR="00A024E3" w:rsidRDefault="00A024E3" w:rsidP="00A024E3">
      <w:pPr>
        <w:pStyle w:val="texto1"/>
        <w:ind w:firstLine="570"/>
        <w:jc w:val="both"/>
        <w:rPr>
          <w:rFonts w:ascii="Arial" w:hAnsi="Arial" w:cs="Arial"/>
          <w:color w:val="000000"/>
          <w:sz w:val="20"/>
          <w:szCs w:val="20"/>
        </w:rPr>
      </w:pPr>
      <w:bookmarkStart w:id="77" w:name="art18§3"/>
      <w:bookmarkEnd w:id="77"/>
      <w:r>
        <w:rPr>
          <w:rFonts w:ascii="Arial" w:hAnsi="Arial" w:cs="Arial"/>
          <w:color w:val="000000"/>
          <w:sz w:val="20"/>
          <w:szCs w:val="20"/>
        </w:rPr>
        <w:t>§ 3º A transferência da posse implica a sub-rogação das obrigações assumidas no termo de compromisso de que trata o § 2º .</w:t>
      </w:r>
    </w:p>
    <w:p w14:paraId="45098F85" w14:textId="77777777" w:rsidR="00A024E3" w:rsidRDefault="00A024E3" w:rsidP="00A024E3">
      <w:pPr>
        <w:pStyle w:val="texto1"/>
        <w:ind w:firstLine="570"/>
        <w:jc w:val="both"/>
        <w:rPr>
          <w:rFonts w:ascii="Arial" w:hAnsi="Arial" w:cs="Arial"/>
          <w:color w:val="000000"/>
          <w:sz w:val="20"/>
          <w:szCs w:val="20"/>
        </w:rPr>
      </w:pPr>
      <w:bookmarkStart w:id="78" w:name="art18§4."/>
      <w:bookmarkEnd w:id="78"/>
      <w:r>
        <w:rPr>
          <w:rFonts w:ascii="Arial" w:hAnsi="Arial" w:cs="Arial"/>
          <w:strike/>
          <w:color w:val="000000"/>
          <w:sz w:val="20"/>
          <w:szCs w:val="20"/>
        </w:rPr>
        <w:t>§ 4º O registro da Reserva Legal no CAR desobriga a averbação no Cartório de Registro de Imóveis.</w:t>
      </w:r>
    </w:p>
    <w:p w14:paraId="1AD3C02E" w14:textId="77777777" w:rsidR="00A024E3" w:rsidRDefault="00A024E3" w:rsidP="00A024E3">
      <w:pPr>
        <w:pStyle w:val="texto1"/>
        <w:ind w:firstLine="570"/>
        <w:jc w:val="both"/>
        <w:rPr>
          <w:rFonts w:ascii="Arial" w:hAnsi="Arial" w:cs="Arial"/>
          <w:color w:val="000000"/>
          <w:sz w:val="20"/>
          <w:szCs w:val="20"/>
        </w:rPr>
      </w:pPr>
      <w:bookmarkStart w:id="79" w:name="art18§4"/>
      <w:bookmarkEnd w:id="79"/>
      <w:r>
        <w:rPr>
          <w:rFonts w:ascii="Arial" w:hAnsi="Arial" w:cs="Arial"/>
          <w:color w:val="000000"/>
          <w:sz w:val="20"/>
          <w:szCs w:val="20"/>
        </w:rPr>
        <w:t xml:space="preserve">§ 4º O registro da Reserva Legal no CAR desobriga a averbação no Cartório de Registro de Imóveis, sendo que, no período entre a data da publicação desta Lei e o registro no CAR, o </w:t>
      </w:r>
      <w:r>
        <w:rPr>
          <w:rFonts w:ascii="Arial" w:hAnsi="Arial" w:cs="Arial"/>
          <w:color w:val="000000"/>
          <w:sz w:val="20"/>
          <w:szCs w:val="20"/>
        </w:rPr>
        <w:lastRenderedPageBreak/>
        <w:t>proprietário ou possuidor rural que desejar fazer a averbação terá direito à gratuidade deste ato. </w:t>
      </w:r>
      <w:hyperlink r:id="rId36" w:history="1">
        <w:r>
          <w:rPr>
            <w:rStyle w:val="Hyperlink"/>
            <w:rFonts w:ascii="Arial" w:hAnsi="Arial" w:cs="Arial"/>
            <w:sz w:val="20"/>
            <w:szCs w:val="20"/>
          </w:rPr>
          <w:t>(Redação dada pela Lei nº 12.727, de 2012).</w:t>
        </w:r>
      </w:hyperlink>
    </w:p>
    <w:p w14:paraId="4880568A" w14:textId="77777777" w:rsidR="00A024E3" w:rsidRDefault="00A024E3" w:rsidP="00A024E3">
      <w:pPr>
        <w:pStyle w:val="texto1"/>
        <w:ind w:firstLine="570"/>
        <w:jc w:val="both"/>
        <w:rPr>
          <w:rFonts w:ascii="Arial" w:hAnsi="Arial" w:cs="Arial"/>
          <w:color w:val="000000"/>
          <w:sz w:val="20"/>
          <w:szCs w:val="20"/>
        </w:rPr>
      </w:pPr>
      <w:bookmarkStart w:id="80" w:name="c19"/>
      <w:bookmarkEnd w:id="80"/>
      <w:r>
        <w:rPr>
          <w:rFonts w:ascii="Arial" w:hAnsi="Arial" w:cs="Arial"/>
          <w:color w:val="000000"/>
          <w:sz w:val="20"/>
          <w:szCs w:val="20"/>
        </w:rPr>
        <w:t> </w:t>
      </w:r>
      <w:bookmarkStart w:id="81" w:name="art19"/>
      <w:bookmarkEnd w:id="81"/>
      <w:r>
        <w:rPr>
          <w:rFonts w:ascii="Arial" w:hAnsi="Arial" w:cs="Arial"/>
          <w:color w:val="000000"/>
          <w:sz w:val="20"/>
          <w:szCs w:val="20"/>
        </w:rPr>
        <w:t>Art. 19. A inserção do imóvel rural em perímetro urbano definido mediante lei municipal não desobriga o proprietário ou posseiro da manutenção da área de Reserva Legal, que só será extinta concomitantemente ao registro do parcelamento do solo para fins urbanos aprovado segundo a legislação específica e consoante as diretrizes do plano diretor de que trata o </w:t>
      </w:r>
      <w:hyperlink r:id="rId37" w:anchor="art182%C2%A71" w:history="1">
        <w:r>
          <w:rPr>
            <w:rStyle w:val="Hyperlink"/>
            <w:rFonts w:ascii="Arial" w:hAnsi="Arial" w:cs="Arial"/>
            <w:sz w:val="20"/>
            <w:szCs w:val="20"/>
          </w:rPr>
          <w:t>§ 1º do art. 182 da Constituição Federal.</w:t>
        </w:r>
      </w:hyperlink>
    </w:p>
    <w:p w14:paraId="7E84BDF3" w14:textId="77777777" w:rsidR="00A024E3" w:rsidRDefault="00A024E3" w:rsidP="00A024E3">
      <w:pPr>
        <w:pStyle w:val="texto1"/>
        <w:ind w:firstLine="570"/>
        <w:jc w:val="both"/>
        <w:rPr>
          <w:rFonts w:ascii="Arial" w:hAnsi="Arial" w:cs="Arial"/>
          <w:color w:val="000000"/>
          <w:sz w:val="20"/>
          <w:szCs w:val="20"/>
        </w:rPr>
      </w:pPr>
      <w:bookmarkStart w:id="82" w:name="c20"/>
      <w:bookmarkEnd w:id="82"/>
      <w:r>
        <w:rPr>
          <w:rFonts w:ascii="Arial" w:hAnsi="Arial" w:cs="Arial"/>
          <w:color w:val="000000"/>
          <w:sz w:val="20"/>
          <w:szCs w:val="20"/>
        </w:rPr>
        <w:t> </w:t>
      </w:r>
      <w:bookmarkStart w:id="83" w:name="art20"/>
      <w:bookmarkEnd w:id="83"/>
      <w:r>
        <w:rPr>
          <w:rFonts w:ascii="Arial" w:hAnsi="Arial" w:cs="Arial"/>
          <w:color w:val="000000"/>
          <w:sz w:val="20"/>
          <w:szCs w:val="20"/>
        </w:rPr>
        <w:t>Art. 20. No manejo sustentável da vegetação florestal da Reserva Legal, serão adotadas práticas de exploração seletiva nas modalidades de manejo sustentável sem propósito comercial para consumo na propriedade e manejo sustentável para exploração florestal com propósito comercial.</w:t>
      </w:r>
    </w:p>
    <w:p w14:paraId="457820F7" w14:textId="77777777" w:rsidR="00A024E3" w:rsidRDefault="00A024E3" w:rsidP="00A024E3">
      <w:pPr>
        <w:pStyle w:val="texto1"/>
        <w:ind w:firstLine="570"/>
        <w:jc w:val="both"/>
        <w:rPr>
          <w:rFonts w:ascii="Arial" w:hAnsi="Arial" w:cs="Arial"/>
          <w:color w:val="000000"/>
          <w:sz w:val="20"/>
          <w:szCs w:val="20"/>
        </w:rPr>
      </w:pPr>
      <w:bookmarkStart w:id="84" w:name="c21"/>
      <w:bookmarkEnd w:id="84"/>
      <w:r>
        <w:rPr>
          <w:rFonts w:ascii="Arial" w:hAnsi="Arial" w:cs="Arial"/>
          <w:color w:val="000000"/>
          <w:sz w:val="20"/>
          <w:szCs w:val="20"/>
        </w:rPr>
        <w:t> </w:t>
      </w:r>
      <w:bookmarkStart w:id="85" w:name="art21"/>
      <w:bookmarkEnd w:id="85"/>
      <w:r w:rsidRPr="003A3B5F">
        <w:rPr>
          <w:rFonts w:ascii="Arial Black" w:hAnsi="Arial Black" w:cs="Arial"/>
          <w:color w:val="000000"/>
        </w:rPr>
        <w:t>Art. 21. É livre a coleta de produtos florestais não madeireiros, tais como frutos, cipós, folhas e sementes, devendo-se observar</w:t>
      </w:r>
      <w:r>
        <w:rPr>
          <w:rFonts w:ascii="Arial" w:hAnsi="Arial" w:cs="Arial"/>
          <w:color w:val="000000"/>
          <w:sz w:val="20"/>
          <w:szCs w:val="20"/>
        </w:rPr>
        <w:t>:</w:t>
      </w:r>
    </w:p>
    <w:p w14:paraId="2C959027" w14:textId="77777777" w:rsidR="00A024E3" w:rsidRDefault="00A024E3" w:rsidP="00A024E3">
      <w:pPr>
        <w:pStyle w:val="texto1"/>
        <w:ind w:firstLine="570"/>
        <w:jc w:val="both"/>
        <w:rPr>
          <w:rFonts w:ascii="Arial" w:hAnsi="Arial" w:cs="Arial"/>
          <w:color w:val="000000"/>
          <w:sz w:val="20"/>
          <w:szCs w:val="20"/>
        </w:rPr>
      </w:pPr>
      <w:bookmarkStart w:id="86" w:name="art21i"/>
      <w:bookmarkEnd w:id="86"/>
      <w:r>
        <w:rPr>
          <w:rFonts w:ascii="Arial" w:hAnsi="Arial" w:cs="Arial"/>
          <w:color w:val="000000"/>
          <w:sz w:val="20"/>
          <w:szCs w:val="20"/>
        </w:rPr>
        <w:t>I - os períodos de coleta e volumes fixados em regulamentos específicos, quando houver;</w:t>
      </w:r>
    </w:p>
    <w:p w14:paraId="00C7FBA4" w14:textId="77777777" w:rsidR="00A024E3" w:rsidRDefault="00A024E3" w:rsidP="00A024E3">
      <w:pPr>
        <w:pStyle w:val="texto1"/>
        <w:ind w:firstLine="570"/>
        <w:jc w:val="both"/>
        <w:rPr>
          <w:rFonts w:ascii="Arial" w:hAnsi="Arial" w:cs="Arial"/>
          <w:color w:val="000000"/>
          <w:sz w:val="20"/>
          <w:szCs w:val="20"/>
        </w:rPr>
      </w:pPr>
      <w:bookmarkStart w:id="87" w:name="art21ii"/>
      <w:bookmarkEnd w:id="87"/>
      <w:r>
        <w:rPr>
          <w:rFonts w:ascii="Arial" w:hAnsi="Arial" w:cs="Arial"/>
          <w:color w:val="000000"/>
          <w:sz w:val="20"/>
          <w:szCs w:val="20"/>
        </w:rPr>
        <w:t>II - a época de maturação dos frutos e sementes;</w:t>
      </w:r>
    </w:p>
    <w:p w14:paraId="130D8365" w14:textId="77777777" w:rsidR="00A024E3" w:rsidRDefault="00A024E3" w:rsidP="00A024E3">
      <w:pPr>
        <w:pStyle w:val="texto1"/>
        <w:ind w:firstLine="570"/>
        <w:jc w:val="both"/>
        <w:rPr>
          <w:rFonts w:ascii="Arial" w:hAnsi="Arial" w:cs="Arial"/>
          <w:color w:val="000000"/>
          <w:sz w:val="20"/>
          <w:szCs w:val="20"/>
        </w:rPr>
      </w:pPr>
      <w:bookmarkStart w:id="88" w:name="art21iii"/>
      <w:bookmarkEnd w:id="88"/>
      <w:r>
        <w:rPr>
          <w:rFonts w:ascii="Arial" w:hAnsi="Arial" w:cs="Arial"/>
          <w:color w:val="000000"/>
          <w:sz w:val="20"/>
          <w:szCs w:val="20"/>
        </w:rPr>
        <w:t>III - técnicas que não coloquem em risco a sobrevivência de indivíduos e da espécie coletada no caso de coleta de flores, folhas, cascas, óleos, resinas, cipós, bulbos, bambus e raízes.</w:t>
      </w:r>
    </w:p>
    <w:p w14:paraId="087671BE" w14:textId="77777777" w:rsidR="00A024E3" w:rsidRPr="003A3B5F" w:rsidRDefault="00A024E3" w:rsidP="00A024E3">
      <w:pPr>
        <w:pStyle w:val="texto1"/>
        <w:ind w:firstLine="570"/>
        <w:jc w:val="both"/>
        <w:rPr>
          <w:rFonts w:ascii="Arial Black" w:hAnsi="Arial Black" w:cs="Arial"/>
          <w:color w:val="000000"/>
        </w:rPr>
      </w:pPr>
      <w:bookmarkStart w:id="89" w:name="c22"/>
      <w:bookmarkEnd w:id="89"/>
      <w:r>
        <w:rPr>
          <w:rFonts w:ascii="Arial" w:hAnsi="Arial" w:cs="Arial"/>
          <w:color w:val="000000"/>
          <w:sz w:val="20"/>
          <w:szCs w:val="20"/>
        </w:rPr>
        <w:t> </w:t>
      </w:r>
      <w:bookmarkStart w:id="90" w:name="art22"/>
      <w:bookmarkEnd w:id="90"/>
      <w:r w:rsidRPr="003A3B5F">
        <w:rPr>
          <w:rFonts w:ascii="Arial Black" w:hAnsi="Arial Black" w:cs="Arial"/>
          <w:color w:val="000000"/>
        </w:rPr>
        <w:t>Art. 22. O manejo florestal sustentável da vegetação da Reserva Legal com propósito comercial depende de autorização do órgão competente e deverá atender as seguintes diretrizes e orientações:</w:t>
      </w:r>
    </w:p>
    <w:p w14:paraId="42F63FE8" w14:textId="77777777" w:rsidR="00A024E3" w:rsidRDefault="00A024E3" w:rsidP="00A024E3">
      <w:pPr>
        <w:pStyle w:val="texto1"/>
        <w:ind w:firstLine="570"/>
        <w:jc w:val="both"/>
        <w:rPr>
          <w:rFonts w:ascii="Arial" w:hAnsi="Arial" w:cs="Arial"/>
          <w:color w:val="000000"/>
          <w:sz w:val="20"/>
          <w:szCs w:val="20"/>
        </w:rPr>
      </w:pPr>
      <w:bookmarkStart w:id="91" w:name="art22i"/>
      <w:bookmarkEnd w:id="91"/>
      <w:r>
        <w:rPr>
          <w:rFonts w:ascii="Arial" w:hAnsi="Arial" w:cs="Arial"/>
          <w:color w:val="000000"/>
          <w:sz w:val="20"/>
          <w:szCs w:val="20"/>
        </w:rPr>
        <w:t>I - não descaracterizar a cobertura vegetal e não prejudicar a conservação da vegetação nativa da área;</w:t>
      </w:r>
    </w:p>
    <w:p w14:paraId="7BFE7A1C" w14:textId="77777777" w:rsidR="00A024E3" w:rsidRDefault="00A024E3" w:rsidP="00A024E3">
      <w:pPr>
        <w:pStyle w:val="texto1"/>
        <w:ind w:firstLine="570"/>
        <w:jc w:val="both"/>
        <w:rPr>
          <w:rFonts w:ascii="Arial" w:hAnsi="Arial" w:cs="Arial"/>
          <w:color w:val="000000"/>
          <w:sz w:val="20"/>
          <w:szCs w:val="20"/>
        </w:rPr>
      </w:pPr>
      <w:bookmarkStart w:id="92" w:name="art22ii"/>
      <w:bookmarkEnd w:id="92"/>
      <w:r>
        <w:rPr>
          <w:rFonts w:ascii="Arial" w:hAnsi="Arial" w:cs="Arial"/>
          <w:color w:val="000000"/>
          <w:sz w:val="20"/>
          <w:szCs w:val="20"/>
        </w:rPr>
        <w:t>II - assegurar a manutenção da diversidade das espécies;</w:t>
      </w:r>
    </w:p>
    <w:p w14:paraId="6C9F8FFC" w14:textId="77777777" w:rsidR="00A024E3" w:rsidRDefault="00A024E3" w:rsidP="00A024E3">
      <w:pPr>
        <w:pStyle w:val="texto1"/>
        <w:ind w:firstLine="570"/>
        <w:jc w:val="both"/>
        <w:rPr>
          <w:rFonts w:ascii="Arial" w:hAnsi="Arial" w:cs="Arial"/>
          <w:color w:val="000000"/>
          <w:sz w:val="20"/>
          <w:szCs w:val="20"/>
        </w:rPr>
      </w:pPr>
      <w:bookmarkStart w:id="93" w:name="art22iii"/>
      <w:bookmarkEnd w:id="93"/>
      <w:r>
        <w:rPr>
          <w:rFonts w:ascii="Arial" w:hAnsi="Arial" w:cs="Arial"/>
          <w:color w:val="000000"/>
          <w:sz w:val="20"/>
          <w:szCs w:val="20"/>
        </w:rPr>
        <w:t>III - conduzir o manejo de espécies exóticas com a adoção de medidas que favoreçam a regeneração de espécies nativas.</w:t>
      </w:r>
    </w:p>
    <w:p w14:paraId="4063B4A7" w14:textId="77777777" w:rsidR="00A024E3" w:rsidRDefault="00A024E3" w:rsidP="00A024E3">
      <w:pPr>
        <w:pStyle w:val="texto1"/>
        <w:ind w:firstLine="570"/>
        <w:jc w:val="both"/>
        <w:rPr>
          <w:rFonts w:ascii="Arial" w:hAnsi="Arial" w:cs="Arial"/>
          <w:color w:val="000000"/>
          <w:sz w:val="20"/>
          <w:szCs w:val="20"/>
        </w:rPr>
      </w:pPr>
      <w:bookmarkStart w:id="94" w:name="c23"/>
      <w:bookmarkEnd w:id="94"/>
      <w:r>
        <w:rPr>
          <w:rFonts w:ascii="Arial" w:hAnsi="Arial" w:cs="Arial"/>
          <w:color w:val="000000"/>
          <w:sz w:val="20"/>
          <w:szCs w:val="20"/>
        </w:rPr>
        <w:t> </w:t>
      </w:r>
      <w:bookmarkStart w:id="95" w:name="art23"/>
      <w:bookmarkEnd w:id="95"/>
      <w:r>
        <w:rPr>
          <w:rFonts w:ascii="Arial" w:hAnsi="Arial" w:cs="Arial"/>
          <w:color w:val="000000"/>
          <w:sz w:val="20"/>
          <w:szCs w:val="20"/>
        </w:rPr>
        <w:t>Art. 23. O manejo sustentável para exploração florestal eventual sem propósito comercial, para consumo no próprio imóvel, independe de autorização dos órgãos competentes, devendo apenas ser declarados previamente ao órgão ambiental a motivação da exploração e o volume explorado, limitada a exploração anual a 20 (vinte) metros cúbicos.</w:t>
      </w:r>
    </w:p>
    <w:p w14:paraId="4C16391E" w14:textId="19EE60EC" w:rsidR="00A024E3" w:rsidRDefault="00A024E3" w:rsidP="00A024E3">
      <w:pPr>
        <w:pStyle w:val="texto1"/>
        <w:ind w:firstLine="570"/>
        <w:jc w:val="both"/>
        <w:rPr>
          <w:rFonts w:ascii="Arial" w:hAnsi="Arial" w:cs="Arial"/>
          <w:color w:val="000000"/>
          <w:sz w:val="20"/>
          <w:szCs w:val="20"/>
        </w:rPr>
      </w:pPr>
      <w:bookmarkStart w:id="96" w:name="c24"/>
      <w:bookmarkEnd w:id="96"/>
      <w:r>
        <w:rPr>
          <w:rFonts w:ascii="Arial" w:hAnsi="Arial" w:cs="Arial"/>
          <w:color w:val="000000"/>
          <w:sz w:val="20"/>
          <w:szCs w:val="20"/>
        </w:rPr>
        <w:t> </w:t>
      </w:r>
      <w:bookmarkStart w:id="97" w:name="art24"/>
      <w:bookmarkEnd w:id="97"/>
      <w:r>
        <w:rPr>
          <w:rFonts w:ascii="Arial" w:hAnsi="Arial" w:cs="Arial"/>
          <w:color w:val="000000"/>
          <w:sz w:val="20"/>
          <w:szCs w:val="20"/>
        </w:rPr>
        <w:t>Art. 24. No manejo florestal nas áreas fora de Reserva Legal, aplica-se igualmente o disposto nos arts. 21, 22 e 23</w:t>
      </w:r>
      <w:r w:rsidR="003F0982">
        <w:rPr>
          <w:rFonts w:ascii="Arial" w:hAnsi="Arial" w:cs="Arial"/>
          <w:color w:val="000000"/>
          <w:sz w:val="20"/>
          <w:szCs w:val="20"/>
        </w:rPr>
        <w:t>.</w:t>
      </w:r>
    </w:p>
    <w:p w14:paraId="6908F135" w14:textId="4B735871" w:rsidR="00906D51" w:rsidRDefault="00906D51" w:rsidP="00906D51">
      <w:pPr>
        <w:pStyle w:val="texto1"/>
        <w:jc w:val="both"/>
        <w:rPr>
          <w:rFonts w:ascii="Arial Black" w:hAnsi="Arial Black" w:cs="Arial"/>
          <w:color w:val="000000"/>
          <w:sz w:val="22"/>
          <w:szCs w:val="22"/>
        </w:rPr>
      </w:pPr>
      <w:r w:rsidRPr="00906D51">
        <w:rPr>
          <w:rFonts w:ascii="Arial Black" w:hAnsi="Arial Black" w:cs="Arial"/>
          <w:color w:val="000000"/>
          <w:sz w:val="22"/>
          <w:szCs w:val="22"/>
        </w:rPr>
        <w:t>2 – Corredor Ecológico</w:t>
      </w:r>
    </w:p>
    <w:p w14:paraId="2314C65D" w14:textId="79E25BA7" w:rsidR="00906D51" w:rsidRDefault="00906D51" w:rsidP="00906D51">
      <w:pPr>
        <w:pStyle w:val="texto1"/>
        <w:jc w:val="both"/>
        <w:rPr>
          <w:rFonts w:ascii="Open Sans" w:eastAsiaTheme="minorHAnsi" w:hAnsi="Open Sans" w:cs="Open Sans"/>
          <w:color w:val="000000"/>
          <w:sz w:val="21"/>
          <w:szCs w:val="21"/>
          <w:lang w:eastAsia="en-US"/>
        </w:rPr>
      </w:pPr>
      <w:r w:rsidRPr="00906D51">
        <w:rPr>
          <w:rFonts w:ascii="Arial Black" w:eastAsiaTheme="minorHAnsi" w:hAnsi="Arial Black" w:cs="Open Sans"/>
          <w:color w:val="000000"/>
          <w:sz w:val="28"/>
          <w:szCs w:val="28"/>
          <w:lang w:eastAsia="en-US"/>
        </w:rPr>
        <w:t>O Corredor Ecológico é um instrumento de gestão e ordenamento territorial, definido pelo Sistema Nacional de Unidades de Conservação da Natureza – SNUC (</w:t>
      </w:r>
      <w:hyperlink r:id="rId38" w:tgtFrame="_blank" w:history="1">
        <w:r w:rsidRPr="00906D51">
          <w:rPr>
            <w:rFonts w:ascii="Arial Black" w:eastAsiaTheme="minorHAnsi" w:hAnsi="Arial Black" w:cs="Open Sans"/>
            <w:color w:val="0088CC"/>
            <w:sz w:val="28"/>
            <w:szCs w:val="28"/>
            <w:u w:val="single"/>
            <w:lang w:eastAsia="en-US"/>
          </w:rPr>
          <w:t xml:space="preserve">Lei </w:t>
        </w:r>
        <w:r w:rsidRPr="00906D51">
          <w:rPr>
            <w:rFonts w:ascii="Arial Black" w:eastAsiaTheme="minorHAnsi" w:hAnsi="Arial Black" w:cs="Open Sans"/>
            <w:color w:val="0088CC"/>
            <w:sz w:val="28"/>
            <w:szCs w:val="28"/>
            <w:u w:val="single"/>
            <w:lang w:eastAsia="en-US"/>
          </w:rPr>
          <w:lastRenderedPageBreak/>
          <w:t>9.985, de 18 de julho de 2000</w:t>
        </w:r>
      </w:hyperlink>
      <w:r w:rsidRPr="00906D51">
        <w:rPr>
          <w:rFonts w:ascii="Arial Black" w:eastAsiaTheme="minorHAnsi" w:hAnsi="Arial Black" w:cs="Open Sans"/>
          <w:color w:val="000000"/>
          <w:sz w:val="28"/>
          <w:szCs w:val="28"/>
          <w:lang w:eastAsia="en-US"/>
        </w:rPr>
        <w:t>), com o objetivo de garantir a manutenção dos processos ecológicos nas áreas de conexão entre Unidades de Conservação, permitindo a dispersão de espécies, a recolonização de áreas degradadas, o fluxo gênico e a viabilidade de populações que demandam mais do que o território de uma unidades de conservação para sobreviver</w:t>
      </w:r>
      <w:r w:rsidRPr="00906D51">
        <w:rPr>
          <w:rFonts w:ascii="Open Sans" w:eastAsiaTheme="minorHAnsi" w:hAnsi="Open Sans" w:cs="Open Sans"/>
          <w:color w:val="000000"/>
          <w:sz w:val="21"/>
          <w:szCs w:val="21"/>
          <w:lang w:eastAsia="en-US"/>
        </w:rPr>
        <w:t>.</w:t>
      </w:r>
    </w:p>
    <w:p w14:paraId="7BE30AA1" w14:textId="1866B686" w:rsidR="00C33985" w:rsidRPr="00C33985" w:rsidRDefault="00C33985" w:rsidP="00906D51">
      <w:pPr>
        <w:pStyle w:val="texto1"/>
        <w:jc w:val="both"/>
        <w:rPr>
          <w:rFonts w:ascii="Arial Black" w:hAnsi="Arial Black" w:cs="Arial"/>
          <w:color w:val="000000"/>
        </w:rPr>
      </w:pPr>
      <w:r w:rsidRPr="00C33985">
        <w:rPr>
          <w:rFonts w:ascii="Arial Black" w:eastAsiaTheme="minorHAnsi" w:hAnsi="Arial Black" w:cs="Open Sans"/>
          <w:color w:val="000000"/>
          <w:lang w:eastAsia="en-US"/>
        </w:rPr>
        <w:t>3 – Projeto Formoso Vivo – Bacia Hidrográfica do Rio Bonito/MS</w:t>
      </w:r>
    </w:p>
    <w:p w14:paraId="2BD8FB3B" w14:textId="77777777" w:rsidR="00A024E3" w:rsidRDefault="00A024E3" w:rsidP="00A024E3">
      <w:pPr>
        <w:pStyle w:val="texto1"/>
        <w:jc w:val="both"/>
        <w:rPr>
          <w:rFonts w:ascii="Arial" w:hAnsi="Arial" w:cs="Arial"/>
          <w:color w:val="000000"/>
          <w:sz w:val="20"/>
          <w:szCs w:val="20"/>
        </w:rPr>
      </w:pPr>
    </w:p>
    <w:p w14:paraId="3FFE051D" w14:textId="28BE52D3" w:rsidR="00997CDC" w:rsidRPr="00E13B6E" w:rsidRDefault="00C33985">
      <w:pPr>
        <w:rPr>
          <w:rFonts w:ascii="Arial Black" w:hAnsi="Arial Black"/>
          <w:sz w:val="40"/>
          <w:szCs w:val="40"/>
        </w:rPr>
      </w:pPr>
      <w:r w:rsidRPr="00E13B6E">
        <w:rPr>
          <w:rFonts w:ascii="Arial Black" w:hAnsi="Arial Black"/>
          <w:sz w:val="40"/>
          <w:szCs w:val="40"/>
        </w:rPr>
        <w:t>Ministério Público do Mato Grosso do Su</w:t>
      </w:r>
      <w:r w:rsidR="00E13B6E" w:rsidRPr="00E13B6E">
        <w:rPr>
          <w:rFonts w:ascii="Arial Black" w:hAnsi="Arial Black"/>
          <w:sz w:val="40"/>
          <w:szCs w:val="40"/>
        </w:rPr>
        <w:t>l – www.mpms.mp.br</w:t>
      </w:r>
      <w:r w:rsidR="00E13B6E">
        <w:rPr>
          <w:rFonts w:ascii="Arial Black" w:hAnsi="Arial Black"/>
          <w:sz w:val="40"/>
          <w:szCs w:val="40"/>
        </w:rPr>
        <w:t>/formosovivo</w:t>
      </w:r>
    </w:p>
    <w:sectPr w:rsidR="00997CDC" w:rsidRPr="00E13B6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DBD"/>
    <w:rsid w:val="00110EC9"/>
    <w:rsid w:val="001E434C"/>
    <w:rsid w:val="00223252"/>
    <w:rsid w:val="003A3B5F"/>
    <w:rsid w:val="003F0982"/>
    <w:rsid w:val="0058039A"/>
    <w:rsid w:val="006E6AF9"/>
    <w:rsid w:val="00796CCA"/>
    <w:rsid w:val="008D3AEC"/>
    <w:rsid w:val="00906D51"/>
    <w:rsid w:val="00997CDC"/>
    <w:rsid w:val="00A024E3"/>
    <w:rsid w:val="00AE0FD0"/>
    <w:rsid w:val="00B53613"/>
    <w:rsid w:val="00C33985"/>
    <w:rsid w:val="00C74DBD"/>
    <w:rsid w:val="00E13B6E"/>
    <w:rsid w:val="00F365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DA506"/>
  <w15:chartTrackingRefBased/>
  <w15:docId w15:val="{D67B0E27-1CBD-4C22-B917-123F8BA3B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2">
    <w:name w:val="texto2"/>
    <w:basedOn w:val="Normal"/>
    <w:rsid w:val="00C74DB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74DBD"/>
    <w:rPr>
      <w:color w:val="0000FF"/>
      <w:u w:val="single"/>
    </w:rPr>
  </w:style>
  <w:style w:type="paragraph" w:customStyle="1" w:styleId="texto1">
    <w:name w:val="texto1"/>
    <w:basedOn w:val="Normal"/>
    <w:rsid w:val="00110EC9"/>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abea">
    <w:name w:val="cabea"/>
    <w:basedOn w:val="Normal"/>
    <w:rsid w:val="00997CD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MenoPendente">
    <w:name w:val="Unresolved Mention"/>
    <w:basedOn w:val="Fontepargpadro"/>
    <w:uiPriority w:val="99"/>
    <w:semiHidden/>
    <w:unhideWhenUsed/>
    <w:rsid w:val="00E13B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661340">
      <w:bodyDiv w:val="1"/>
      <w:marLeft w:val="0"/>
      <w:marRight w:val="0"/>
      <w:marTop w:val="0"/>
      <w:marBottom w:val="0"/>
      <w:divBdr>
        <w:top w:val="none" w:sz="0" w:space="0" w:color="auto"/>
        <w:left w:val="none" w:sz="0" w:space="0" w:color="auto"/>
        <w:bottom w:val="none" w:sz="0" w:space="0" w:color="auto"/>
        <w:right w:val="none" w:sz="0" w:space="0" w:color="auto"/>
      </w:divBdr>
    </w:div>
    <w:div w:id="972061879">
      <w:bodyDiv w:val="1"/>
      <w:marLeft w:val="0"/>
      <w:marRight w:val="0"/>
      <w:marTop w:val="0"/>
      <w:marBottom w:val="0"/>
      <w:divBdr>
        <w:top w:val="none" w:sz="0" w:space="0" w:color="auto"/>
        <w:left w:val="none" w:sz="0" w:space="0" w:color="auto"/>
        <w:bottom w:val="none" w:sz="0" w:space="0" w:color="auto"/>
        <w:right w:val="none" w:sz="0" w:space="0" w:color="auto"/>
      </w:divBdr>
    </w:div>
    <w:div w:id="1020660514">
      <w:bodyDiv w:val="1"/>
      <w:marLeft w:val="0"/>
      <w:marRight w:val="0"/>
      <w:marTop w:val="0"/>
      <w:marBottom w:val="0"/>
      <w:divBdr>
        <w:top w:val="none" w:sz="0" w:space="0" w:color="auto"/>
        <w:left w:val="none" w:sz="0" w:space="0" w:color="auto"/>
        <w:bottom w:val="none" w:sz="0" w:space="0" w:color="auto"/>
        <w:right w:val="none" w:sz="0" w:space="0" w:color="auto"/>
      </w:divBdr>
    </w:div>
    <w:div w:id="1330215632">
      <w:bodyDiv w:val="1"/>
      <w:marLeft w:val="0"/>
      <w:marRight w:val="0"/>
      <w:marTop w:val="0"/>
      <w:marBottom w:val="0"/>
      <w:divBdr>
        <w:top w:val="none" w:sz="0" w:space="0" w:color="auto"/>
        <w:left w:val="none" w:sz="0" w:space="0" w:color="auto"/>
        <w:bottom w:val="none" w:sz="0" w:space="0" w:color="auto"/>
        <w:right w:val="none" w:sz="0" w:space="0" w:color="auto"/>
      </w:divBdr>
    </w:div>
    <w:div w:id="1370255900">
      <w:bodyDiv w:val="1"/>
      <w:marLeft w:val="0"/>
      <w:marRight w:val="0"/>
      <w:marTop w:val="0"/>
      <w:marBottom w:val="0"/>
      <w:divBdr>
        <w:top w:val="none" w:sz="0" w:space="0" w:color="auto"/>
        <w:left w:val="none" w:sz="0" w:space="0" w:color="auto"/>
        <w:bottom w:val="none" w:sz="0" w:space="0" w:color="auto"/>
        <w:right w:val="none" w:sz="0" w:space="0" w:color="auto"/>
      </w:divBdr>
    </w:div>
    <w:div w:id="1450470348">
      <w:bodyDiv w:val="1"/>
      <w:marLeft w:val="0"/>
      <w:marRight w:val="0"/>
      <w:marTop w:val="0"/>
      <w:marBottom w:val="0"/>
      <w:divBdr>
        <w:top w:val="none" w:sz="0" w:space="0" w:color="auto"/>
        <w:left w:val="none" w:sz="0" w:space="0" w:color="auto"/>
        <w:bottom w:val="none" w:sz="0" w:space="0" w:color="auto"/>
        <w:right w:val="none" w:sz="0" w:space="0" w:color="auto"/>
      </w:divBdr>
    </w:div>
    <w:div w:id="2050567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f.jus.br/portal/peticaoInicial/verPeticaoInicial.asp?base=ADCN&amp;s1=42&amp;processo=42" TargetMode="External"/><Relationship Id="rId13" Type="http://schemas.openxmlformats.org/officeDocument/2006/relationships/hyperlink" Target="http://www.stf.jus.br/portal/peticaoInicial/verPeticaoInicial.asp?base=ADCN&amp;s1=42&amp;processo=42" TargetMode="External"/><Relationship Id="rId18" Type="http://schemas.openxmlformats.org/officeDocument/2006/relationships/hyperlink" Target="http://www.stf.jus.br/portal/peticaoInicial/verPeticaoInicial.asp?base=ADIN&amp;s1=4901&amp;processo=4901" TargetMode="External"/><Relationship Id="rId26" Type="http://schemas.openxmlformats.org/officeDocument/2006/relationships/hyperlink" Target="http://www.stf.jus.br/portal/peticaoInicial/verPeticaoInicial.asp?base=ADIN&amp;s1=4901&amp;processo=4901" TargetMode="Externa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www.stf.jus.br/portal/peticaoInicial/verPeticaoInicial.asp?base=ADCN&amp;s1=42&amp;processo=42" TargetMode="External"/><Relationship Id="rId34" Type="http://schemas.openxmlformats.org/officeDocument/2006/relationships/hyperlink" Target="https://www.planalto.gov.br/ccivil_03/_ato2011-2014/2012/Mpv/571.htm" TargetMode="External"/><Relationship Id="rId7" Type="http://schemas.openxmlformats.org/officeDocument/2006/relationships/hyperlink" Target="http://www.stf.jus.br/portal/peticaoInicial/verPeticaoInicial.asp?base=ADIN&amp;s1=4937&amp;processo=4937" TargetMode="External"/><Relationship Id="rId12" Type="http://schemas.openxmlformats.org/officeDocument/2006/relationships/hyperlink" Target="https://www.planalto.gov.br/ccivil_03/_ato2011-2014/2012/lei/L12727.htm" TargetMode="External"/><Relationship Id="rId17" Type="http://schemas.openxmlformats.org/officeDocument/2006/relationships/hyperlink" Target="http://www.stf.jus.br/portal/peticaoInicial/verPeticaoInicial.asp?base=ADCN&amp;s1=42&amp;processo=42" TargetMode="External"/><Relationship Id="rId25" Type="http://schemas.openxmlformats.org/officeDocument/2006/relationships/hyperlink" Target="http://www.stf.jus.br/portal/peticaoInicial/verPeticaoInicial.asp?base=ADCN&amp;s1=42&amp;processo=42" TargetMode="External"/><Relationship Id="rId33" Type="http://schemas.openxmlformats.org/officeDocument/2006/relationships/hyperlink" Target="http://www.stf.jus.br/portal/peticaoInicial/verPeticaoInicial.asp?base=ADIN&amp;s1=4903&amp;processo=4903" TargetMode="External"/><Relationship Id="rId38" Type="http://schemas.openxmlformats.org/officeDocument/2006/relationships/hyperlink" Target="http://www.planalto.gov.br/ccivil_03/Leis/L9985.htm" TargetMode="External"/><Relationship Id="rId2" Type="http://schemas.openxmlformats.org/officeDocument/2006/relationships/settings" Target="settings.xml"/><Relationship Id="rId16" Type="http://schemas.openxmlformats.org/officeDocument/2006/relationships/hyperlink" Target="http://www.stf.jus.br/portal/peticaoInicial/verPeticaoInicial.asp?base=ADIN&amp;s1=4901&amp;processo=4901" TargetMode="External"/><Relationship Id="rId20" Type="http://schemas.openxmlformats.org/officeDocument/2006/relationships/hyperlink" Target="http://www.stf.jus.br/portal/peticaoInicial/verPeticaoInicial.asp?base=ADIN&amp;s1=4901&amp;processo=4901" TargetMode="External"/><Relationship Id="rId29" Type="http://schemas.openxmlformats.org/officeDocument/2006/relationships/hyperlink" Target="https://www.planalto.gov.br/ccivil_03/_ato2011-2014/2012/Mpv/571.htm" TargetMode="External"/><Relationship Id="rId1" Type="http://schemas.openxmlformats.org/officeDocument/2006/relationships/styles" Target="styles.xml"/><Relationship Id="rId6" Type="http://schemas.openxmlformats.org/officeDocument/2006/relationships/hyperlink" Target="https://www.planalto.gov.br/ccivil_03/_ato2011-2014/2012/lei/L12727.htm" TargetMode="External"/><Relationship Id="rId11" Type="http://schemas.openxmlformats.org/officeDocument/2006/relationships/hyperlink" Target="http://www.stf.jus.br/portal/peticaoInicial/verPeticaoInicial.asp?base=ADIN&amp;s1=4903&amp;processo=4903" TargetMode="External"/><Relationship Id="rId24" Type="http://schemas.openxmlformats.org/officeDocument/2006/relationships/hyperlink" Target="http://www.stf.jus.br/portal/peticaoInicial/verPeticaoInicial.asp?base=ADIN&amp;s1=4937&amp;processo=4937" TargetMode="External"/><Relationship Id="rId32" Type="http://schemas.openxmlformats.org/officeDocument/2006/relationships/hyperlink" Target="http://www.stf.jus.br/portal/peticaoInicial/verPeticaoInicial.asp?base=ADIN&amp;s1=4902&amp;processo=4902" TargetMode="External"/><Relationship Id="rId37" Type="http://schemas.openxmlformats.org/officeDocument/2006/relationships/hyperlink" Target="https://www.planalto.gov.br/ccivil_03/Constituicao/Constituicao.htm" TargetMode="External"/><Relationship Id="rId40" Type="http://schemas.openxmlformats.org/officeDocument/2006/relationships/theme" Target="theme/theme1.xml"/><Relationship Id="rId5" Type="http://schemas.openxmlformats.org/officeDocument/2006/relationships/hyperlink" Target="https://www.planalto.gov.br/ccivil_03/_ato2011-2014/2012/lei/L12727.htm" TargetMode="External"/><Relationship Id="rId15" Type="http://schemas.openxmlformats.org/officeDocument/2006/relationships/hyperlink" Target="http://www.stf.jus.br/portal/peticaoInicial/verPeticaoInicial.asp?base=ADCN&amp;s1=42&amp;processo=42" TargetMode="External"/><Relationship Id="rId23" Type="http://schemas.openxmlformats.org/officeDocument/2006/relationships/hyperlink" Target="https://www.planalto.gov.br/ccivil_03/LEIS/L6938.htm" TargetMode="External"/><Relationship Id="rId28" Type="http://schemas.openxmlformats.org/officeDocument/2006/relationships/hyperlink" Target="https://www.planalto.gov.br/ccivil_03/_ato2011-2014/2012/lei/L12727.htm" TargetMode="External"/><Relationship Id="rId36" Type="http://schemas.openxmlformats.org/officeDocument/2006/relationships/hyperlink" Target="https://www.planalto.gov.br/ccivil_03/_ato2011-2014/2012/lei/L12727.htm" TargetMode="External"/><Relationship Id="rId10" Type="http://schemas.openxmlformats.org/officeDocument/2006/relationships/hyperlink" Target="http://www.stf.jus.br/portal/peticaoInicial/verPeticaoInicial.asp?base=ADCN&amp;s1=42&amp;processo=42" TargetMode="External"/><Relationship Id="rId19" Type="http://schemas.openxmlformats.org/officeDocument/2006/relationships/hyperlink" Target="http://www.stf.jus.br/portal/peticaoInicial/verPeticaoInicial.asp?base=ADCN&amp;s1=42&amp;processo=42" TargetMode="External"/><Relationship Id="rId31" Type="http://schemas.openxmlformats.org/officeDocument/2006/relationships/hyperlink" Target="http://www.stf.jus.br/portal/peticaoInicial/verPeticaoInicial.asp?base=ADCN&amp;s1=42&amp;processo=42" TargetMode="External"/><Relationship Id="rId4" Type="http://schemas.openxmlformats.org/officeDocument/2006/relationships/hyperlink" Target="https://www.planalto.gov.br/ccivil_03/_ato2011-2014/2012/lei/L12727.htm" TargetMode="External"/><Relationship Id="rId9" Type="http://schemas.openxmlformats.org/officeDocument/2006/relationships/hyperlink" Target="http://www.stf.jus.br/portal/peticaoInicial/verPeticaoInicial.asp?base=ADIN&amp;s1=4902&amp;processo=4902" TargetMode="External"/><Relationship Id="rId14" Type="http://schemas.openxmlformats.org/officeDocument/2006/relationships/hyperlink" Target="http://www.stf.jus.br/portal/peticaoInicial/verPeticaoInicial.asp?base=ADIN&amp;s1=4901&amp;processo=4901" TargetMode="External"/><Relationship Id="rId22" Type="http://schemas.openxmlformats.org/officeDocument/2006/relationships/hyperlink" Target="http://www.stf.jus.br/portal/peticaoInicial/verPeticaoInicial.asp?base=ADIN&amp;s1=4901&amp;processo=4901" TargetMode="External"/><Relationship Id="rId27" Type="http://schemas.openxmlformats.org/officeDocument/2006/relationships/hyperlink" Target="https://www.planalto.gov.br/ccivil_03/_ato2011-2014/2012/Mpv/571.htm" TargetMode="External"/><Relationship Id="rId30" Type="http://schemas.openxmlformats.org/officeDocument/2006/relationships/hyperlink" Target="https://www.planalto.gov.br/ccivil_03/_ato2011-2014/2012/lei/L12727.htm" TargetMode="External"/><Relationship Id="rId35" Type="http://schemas.openxmlformats.org/officeDocument/2006/relationships/hyperlink" Target="https://www.planalto.gov.br/ccivil_03/_ato2011-2014/2012/lei/L12727.htm"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9</Pages>
  <Words>3465</Words>
  <Characters>18715</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JOSEMAR SOUSA LIMA</dc:creator>
  <cp:keywords/>
  <dc:description/>
  <cp:lastModifiedBy>JOSEMAR SOUSA LIMA</cp:lastModifiedBy>
  <cp:revision>7</cp:revision>
  <dcterms:created xsi:type="dcterms:W3CDTF">2022-04-13T15:06:00Z</dcterms:created>
  <dcterms:modified xsi:type="dcterms:W3CDTF">2022-04-14T10:52:00Z</dcterms:modified>
</cp:coreProperties>
</file>